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4CF2" w:rsidRPr="00AA5BD1" w:rsidRDefault="00644CF2" w:rsidP="00644CF2">
      <w:pPr>
        <w:pStyle w:val="a9"/>
        <w:jc w:val="center"/>
        <w:rPr>
          <w:rFonts w:ascii="Times New Roman" w:hAnsi="Times New Roman" w:cs="Times New Roman"/>
        </w:rPr>
      </w:pPr>
      <w:bookmarkStart w:id="0" w:name="_GoBack"/>
      <w:bookmarkEnd w:id="0"/>
      <w:r w:rsidRPr="00AA5BD1">
        <w:rPr>
          <w:rFonts w:ascii="Times New Roman" w:hAnsi="Times New Roman" w:cs="Times New Roman"/>
          <w:noProof/>
          <w:lang w:val="uk-UA" w:eastAsia="uk-UA"/>
        </w:rPr>
        <w:drawing>
          <wp:inline distT="0" distB="0" distL="0" distR="0" wp14:anchorId="4A79F883" wp14:editId="443F8C63">
            <wp:extent cx="542925" cy="7143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42925" cy="714375"/>
                    </a:xfrm>
                    <a:prstGeom prst="rect">
                      <a:avLst/>
                    </a:prstGeom>
                    <a:noFill/>
                    <a:ln>
                      <a:noFill/>
                    </a:ln>
                  </pic:spPr>
                </pic:pic>
              </a:graphicData>
            </a:graphic>
          </wp:inline>
        </w:drawing>
      </w:r>
    </w:p>
    <w:p w:rsidR="00644CF2" w:rsidRPr="00AA5BD1" w:rsidRDefault="00644CF2" w:rsidP="00644CF2">
      <w:pPr>
        <w:pStyle w:val="a9"/>
        <w:jc w:val="center"/>
        <w:rPr>
          <w:rFonts w:ascii="Times New Roman" w:hAnsi="Times New Roman" w:cs="Times New Roman"/>
          <w:b/>
          <w:lang w:val="ru-RU"/>
        </w:rPr>
      </w:pPr>
      <w:r w:rsidRPr="00AA5BD1">
        <w:rPr>
          <w:rFonts w:ascii="Times New Roman" w:hAnsi="Times New Roman" w:cs="Times New Roman"/>
          <w:b/>
        </w:rPr>
        <w:t>УКРАЇНА</w:t>
      </w:r>
    </w:p>
    <w:p w:rsidR="00644CF2" w:rsidRPr="00AA5BD1" w:rsidRDefault="00644CF2" w:rsidP="00644CF2">
      <w:pPr>
        <w:pStyle w:val="a9"/>
        <w:jc w:val="center"/>
        <w:rPr>
          <w:rFonts w:ascii="Times New Roman" w:hAnsi="Times New Roman" w:cs="Times New Roman"/>
          <w:b/>
        </w:rPr>
      </w:pPr>
      <w:r w:rsidRPr="00AA5BD1">
        <w:rPr>
          <w:rFonts w:ascii="Times New Roman" w:hAnsi="Times New Roman" w:cs="Times New Roman"/>
          <w:b/>
        </w:rPr>
        <w:t xml:space="preserve">ЛІТИНСЬКА СЕЛИЩНА РАДА </w:t>
      </w:r>
    </w:p>
    <w:p w:rsidR="00644CF2" w:rsidRPr="00AA5BD1" w:rsidRDefault="00644CF2" w:rsidP="00644CF2">
      <w:pPr>
        <w:pStyle w:val="a9"/>
        <w:jc w:val="center"/>
        <w:rPr>
          <w:rFonts w:ascii="Times New Roman" w:hAnsi="Times New Roman" w:cs="Times New Roman"/>
          <w:b/>
          <w:lang w:val="ru-RU"/>
        </w:rPr>
      </w:pPr>
      <w:r w:rsidRPr="00AA5BD1">
        <w:rPr>
          <w:rFonts w:ascii="Times New Roman" w:hAnsi="Times New Roman" w:cs="Times New Roman"/>
          <w:b/>
        </w:rPr>
        <w:t>ВІННИЦЬКОЇ ОБЛАСТІ</w:t>
      </w:r>
    </w:p>
    <w:p w:rsidR="00644CF2" w:rsidRPr="00AA5BD1" w:rsidRDefault="00644CF2" w:rsidP="00644CF2">
      <w:pPr>
        <w:pStyle w:val="a9"/>
        <w:jc w:val="center"/>
        <w:rPr>
          <w:rFonts w:ascii="Times New Roman" w:hAnsi="Times New Roman" w:cs="Times New Roman"/>
          <w:b/>
          <w:bCs/>
          <w:caps/>
        </w:rPr>
      </w:pPr>
      <w:r w:rsidRPr="00AA5BD1">
        <w:rPr>
          <w:rFonts w:ascii="Times New Roman" w:hAnsi="Times New Roman" w:cs="Times New Roman"/>
          <w:b/>
          <w:bCs/>
          <w:caps/>
        </w:rPr>
        <w:t xml:space="preserve">ВІДДІЛ  ОСВІТИ,  культури,  молоді  та спорту </w:t>
      </w:r>
    </w:p>
    <w:p w:rsidR="00644CF2" w:rsidRPr="00AA5BD1" w:rsidRDefault="00644CF2" w:rsidP="00644CF2">
      <w:pPr>
        <w:pStyle w:val="a9"/>
        <w:jc w:val="center"/>
        <w:rPr>
          <w:rFonts w:ascii="Times New Roman" w:hAnsi="Times New Roman" w:cs="Times New Roman"/>
          <w:u w:val="single"/>
        </w:rPr>
      </w:pPr>
      <w:r w:rsidRPr="00AA5BD1">
        <w:rPr>
          <w:rFonts w:ascii="Times New Roman" w:hAnsi="Times New Roman" w:cs="Times New Roman"/>
        </w:rPr>
        <w:t xml:space="preserve">вул. Соборна, 32, смт. Літин, Вінницької області, 22300,тел. </w:t>
      </w:r>
      <w:r w:rsidRPr="00AA5BD1">
        <w:rPr>
          <w:rFonts w:ascii="Times New Roman" w:hAnsi="Times New Roman" w:cs="Times New Roman"/>
          <w:u w:val="single"/>
        </w:rPr>
        <w:t>(04347) 2-11-53</w:t>
      </w:r>
    </w:p>
    <w:p w:rsidR="00644CF2" w:rsidRPr="00AA5BD1" w:rsidRDefault="00644CF2" w:rsidP="00644CF2">
      <w:pPr>
        <w:pStyle w:val="a9"/>
        <w:jc w:val="center"/>
        <w:rPr>
          <w:rFonts w:ascii="Times New Roman" w:hAnsi="Times New Roman" w:cs="Times New Roman"/>
          <w:b/>
          <w:i/>
          <w:iCs/>
        </w:rPr>
      </w:pPr>
      <w:r w:rsidRPr="00AA5BD1">
        <w:rPr>
          <w:rFonts w:ascii="Times New Roman" w:hAnsi="Times New Roman" w:cs="Times New Roman"/>
          <w:noProof/>
          <w:lang w:val="uk-UA" w:eastAsia="uk-UA"/>
        </w:rPr>
        <mc:AlternateContent>
          <mc:Choice Requires="wps">
            <w:drawing>
              <wp:anchor distT="0" distB="0" distL="114300" distR="114300" simplePos="0" relativeHeight="251659264" behindDoc="0" locked="0" layoutInCell="1" allowOverlap="1" wp14:anchorId="54F980CA" wp14:editId="02CEA286">
                <wp:simplePos x="0" y="0"/>
                <wp:positionH relativeFrom="column">
                  <wp:posOffset>228600</wp:posOffset>
                </wp:positionH>
                <wp:positionV relativeFrom="paragraph">
                  <wp:posOffset>232410</wp:posOffset>
                </wp:positionV>
                <wp:extent cx="5497195" cy="0"/>
                <wp:effectExtent l="28575" t="32385" r="36830" b="34290"/>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97195"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06CDB01A" id="Прямая соединительная линия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18.3pt" to="450.85pt,1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N3WAIAAGoEAAAOAAAAZHJzL2Uyb0RvYy54bWysVNFu0zAUfUfiH6y8d2lKuq3R0gk1LS8D&#10;Km18gGs7jTXHtmyvaYWQgGekfQK/wANIkwZ8Q/pHXLtptcELQuTBubavT8499zhn5+taoBUzliuZ&#10;R8lRP0JMEkW5XObRm6tZ7zRC1mFJsVCS5dGG2eh8/PTJWaMzNlCVEpQZBCDSZo3Oo8o5ncWxJRWr&#10;sT1SmknYLJWpsYOpWcbU4AbQaxEP+v3juFGGaqMIsxZWi91mNA74ZcmIe12Wljkk8gi4uTCaMC78&#10;GI/PcLY0WFecdDTwP7CoMZfw0QNUgR1GN4b/AVVzYpRVpTsiqo5VWXLCQg1QTdL/rZrLCmsWagFx&#10;rD7IZP8fLHm1mhvEaR4NIiRxDS1qP2/fb2/b7+2X7S3afmh/tt/ar+1d+6O9236E+H77CWK/2d53&#10;y7do4JVstM0AcCLnxmtB1vJSXyhybZFUkwrLJQsVXW00fCbxJ+JHR/zEauCzaF4qCjn4xqkg67o0&#10;tYcEwdA6dG9z6B5bO0RgcZiOTpLRMEJkvxfjbH9QG+teMFUjH+SR4NILizO8urDOE8HZPsUvSzXj&#10;QgRzCIkaAD9JhuAfUmuQyoFZrq+qruVWCU59uj9ozXIxEQatsDdceEKdsPMwzagbSQN8xTCddrHD&#10;XOxioCOkx4PigGAX7Rz1dtQfTU+np2kvHRxPe2m/KHrPZ5O0dzxLTobFs2IyKZJ3vrokzSpOKZOe&#10;3d7dSfp37unu2c6XB38fhIkfowcFgez+HUiH7vqG7qyxUHQzN/uug6FDcnf5/I15OIf44S9i/AsA&#10;AP//AwBQSwMEFAAGAAgAAAAhALsE53baAAAACAEAAA8AAABkcnMvZG93bnJldi54bWxMj8FOwzAQ&#10;RO9I/IO1SNyoXQohhDhVRcUHkHLguI2XJMJeR7bbBr4eVxzgtNqd0eybej07K44U4uhZw3KhQBB3&#10;3ozca3jbvdyUIGJCNmg9k4YvirBuLi9qrIw/8Ssd29SLHMKxQg1DSlMlZewGchgXfiLO2ocPDlNe&#10;Qy9NwFMOd1beKlVIhyPnDwNO9DxQ99kenIbWK7udNyvbfpd371vflVO4j1pfX82bJxCJ5vRnhjN+&#10;RocmM+39gU0UVsOqyFXSeRYgsv6olg8g9r8H2dTyf4HmBwAA//8DAFBLAQItABQABgAIAAAAIQC2&#10;gziS/gAAAOEBAAATAAAAAAAAAAAAAAAAAAAAAABbQ29udGVudF9UeXBlc10ueG1sUEsBAi0AFAAG&#10;AAgAAAAhADj9If/WAAAAlAEAAAsAAAAAAAAAAAAAAAAALwEAAF9yZWxzLy5yZWxzUEsBAi0AFAAG&#10;AAgAAAAhAD4BY3dYAgAAagQAAA4AAAAAAAAAAAAAAAAALgIAAGRycy9lMm9Eb2MueG1sUEsBAi0A&#10;FAAGAAgAAAAhALsE53baAAAACAEAAA8AAAAAAAAAAAAAAAAAsgQAAGRycy9kb3ducmV2LnhtbFBL&#10;BQYAAAAABAAEAPMAAAC5BQAAAAA=&#10;" strokeweight="4.5pt">
                <v:stroke linestyle="thickThin"/>
              </v:line>
            </w:pict>
          </mc:Fallback>
        </mc:AlternateContent>
      </w:r>
      <w:proofErr w:type="spellStart"/>
      <w:r w:rsidRPr="00AA5BD1">
        <w:rPr>
          <w:rFonts w:ascii="Times New Roman" w:hAnsi="Times New Roman" w:cs="Times New Roman"/>
          <w:i/>
          <w:iCs/>
          <w:lang w:val="en-US"/>
        </w:rPr>
        <w:t>lityn</w:t>
      </w:r>
      <w:proofErr w:type="spellEnd"/>
      <w:r w:rsidRPr="00AA5BD1">
        <w:rPr>
          <w:rFonts w:ascii="Times New Roman" w:hAnsi="Times New Roman" w:cs="Times New Roman"/>
          <w:i/>
          <w:iCs/>
        </w:rPr>
        <w:t>_</w:t>
      </w:r>
      <w:proofErr w:type="spellStart"/>
      <w:r w:rsidRPr="00AA5BD1">
        <w:rPr>
          <w:rFonts w:ascii="Times New Roman" w:hAnsi="Times New Roman" w:cs="Times New Roman"/>
          <w:i/>
          <w:iCs/>
          <w:lang w:val="en-US"/>
        </w:rPr>
        <w:t>osvita</w:t>
      </w:r>
      <w:proofErr w:type="spellEnd"/>
      <w:r w:rsidRPr="00AA5BD1">
        <w:rPr>
          <w:rFonts w:ascii="Times New Roman" w:hAnsi="Times New Roman" w:cs="Times New Roman"/>
          <w:i/>
          <w:iCs/>
        </w:rPr>
        <w:t>_</w:t>
      </w:r>
      <w:r w:rsidRPr="00AA5BD1">
        <w:rPr>
          <w:rFonts w:ascii="Times New Roman" w:hAnsi="Times New Roman" w:cs="Times New Roman"/>
          <w:i/>
          <w:iCs/>
          <w:lang w:val="en-US"/>
        </w:rPr>
        <w:t xml:space="preserve">OTG </w:t>
      </w:r>
      <w:proofErr w:type="spellStart"/>
      <w:r w:rsidRPr="00AA5BD1">
        <w:rPr>
          <w:rFonts w:ascii="Times New Roman" w:hAnsi="Times New Roman" w:cs="Times New Roman"/>
          <w:i/>
          <w:iCs/>
          <w:lang w:val="en-US"/>
        </w:rPr>
        <w:t>ukr</w:t>
      </w:r>
      <w:proofErr w:type="spellEnd"/>
      <w:r w:rsidRPr="00AA5BD1">
        <w:rPr>
          <w:rFonts w:ascii="Times New Roman" w:hAnsi="Times New Roman" w:cs="Times New Roman"/>
          <w:i/>
          <w:iCs/>
        </w:rPr>
        <w:t>.</w:t>
      </w:r>
      <w:r w:rsidRPr="00AA5BD1">
        <w:rPr>
          <w:rFonts w:ascii="Times New Roman" w:hAnsi="Times New Roman" w:cs="Times New Roman"/>
          <w:i/>
          <w:iCs/>
          <w:lang w:val="en-US"/>
        </w:rPr>
        <w:t xml:space="preserve"> </w:t>
      </w:r>
      <w:proofErr w:type="gramStart"/>
      <w:r w:rsidRPr="00AA5BD1">
        <w:rPr>
          <w:rFonts w:ascii="Times New Roman" w:hAnsi="Times New Roman" w:cs="Times New Roman"/>
          <w:i/>
          <w:iCs/>
          <w:lang w:val="en-US"/>
        </w:rPr>
        <w:t>net</w:t>
      </w:r>
      <w:r w:rsidRPr="00AA5BD1">
        <w:rPr>
          <w:rFonts w:ascii="Times New Roman" w:hAnsi="Times New Roman" w:cs="Times New Roman"/>
          <w:i/>
          <w:iCs/>
        </w:rPr>
        <w:t xml:space="preserve">  </w:t>
      </w:r>
      <w:r w:rsidRPr="00AA5BD1">
        <w:rPr>
          <w:rFonts w:ascii="Times New Roman" w:hAnsi="Times New Roman" w:cs="Times New Roman"/>
          <w:b/>
          <w:i/>
          <w:iCs/>
        </w:rPr>
        <w:t>ЄДРПОУ</w:t>
      </w:r>
      <w:proofErr w:type="gramEnd"/>
      <w:r w:rsidRPr="00AA5BD1">
        <w:rPr>
          <w:rFonts w:ascii="Times New Roman" w:hAnsi="Times New Roman" w:cs="Times New Roman"/>
          <w:b/>
          <w:i/>
          <w:iCs/>
        </w:rPr>
        <w:t xml:space="preserve"> 43863849</w:t>
      </w:r>
    </w:p>
    <w:p w:rsidR="00E33843" w:rsidRPr="00AA5BD1" w:rsidRDefault="00E33843" w:rsidP="00170735">
      <w:pPr>
        <w:pStyle w:val="a3"/>
        <w:spacing w:after="0" w:afterAutospacing="0"/>
        <w:jc w:val="center"/>
        <w:rPr>
          <w:rStyle w:val="a4"/>
          <w:rFonts w:eastAsiaTheme="minorEastAsia"/>
          <w:sz w:val="20"/>
          <w:szCs w:val="20"/>
          <w:lang/>
        </w:rPr>
      </w:pPr>
    </w:p>
    <w:p w:rsidR="004F1047" w:rsidRPr="00AA5BD1" w:rsidRDefault="004F1047" w:rsidP="00170735">
      <w:pPr>
        <w:pStyle w:val="a3"/>
        <w:spacing w:after="0" w:afterAutospacing="0"/>
        <w:jc w:val="center"/>
        <w:rPr>
          <w:rStyle w:val="a4"/>
          <w:sz w:val="20"/>
          <w:szCs w:val="20"/>
        </w:rPr>
      </w:pPr>
      <w:r w:rsidRPr="00AA5BD1">
        <w:rPr>
          <w:rStyle w:val="a4"/>
          <w:sz w:val="20"/>
          <w:szCs w:val="20"/>
        </w:rPr>
        <w:t>ОБҐРУНТУВАННЯ</w:t>
      </w:r>
    </w:p>
    <w:p w:rsidR="000F6267" w:rsidRDefault="000F6267" w:rsidP="00170735">
      <w:pPr>
        <w:pStyle w:val="a3"/>
        <w:spacing w:before="0" w:beforeAutospacing="0"/>
        <w:jc w:val="center"/>
        <w:rPr>
          <w:sz w:val="20"/>
          <w:szCs w:val="20"/>
          <w:shd w:val="clear" w:color="auto" w:fill="FFFFFF"/>
        </w:rPr>
      </w:pPr>
      <w:r w:rsidRPr="00AA5BD1">
        <w:rPr>
          <w:rStyle w:val="a4"/>
          <w:sz w:val="20"/>
          <w:szCs w:val="20"/>
        </w:rPr>
        <w:t xml:space="preserve">укладання договору про закупівлю без використання електронної системи </w:t>
      </w:r>
      <w:proofErr w:type="spellStart"/>
      <w:r w:rsidRPr="00AA5BD1">
        <w:rPr>
          <w:rStyle w:val="a4"/>
          <w:sz w:val="20"/>
          <w:szCs w:val="20"/>
        </w:rPr>
        <w:t>закупівель</w:t>
      </w:r>
      <w:proofErr w:type="spellEnd"/>
      <w:r w:rsidRPr="00AA5BD1">
        <w:rPr>
          <w:rStyle w:val="a4"/>
          <w:sz w:val="20"/>
          <w:szCs w:val="20"/>
        </w:rPr>
        <w:t xml:space="preserve"> </w:t>
      </w:r>
      <w:r w:rsidR="004F1047" w:rsidRPr="00AA5BD1">
        <w:rPr>
          <w:rStyle w:val="a4"/>
          <w:sz w:val="20"/>
          <w:szCs w:val="20"/>
        </w:rPr>
        <w:t xml:space="preserve">/ </w:t>
      </w:r>
      <w:r w:rsidRPr="00AA5BD1">
        <w:rPr>
          <w:rStyle w:val="a4"/>
          <w:sz w:val="20"/>
          <w:szCs w:val="20"/>
        </w:rPr>
        <w:t>застосування  переговорної процедури для закупівлі послуг</w:t>
      </w:r>
      <w:r w:rsidR="00F3771E" w:rsidRPr="00AA5BD1">
        <w:rPr>
          <w:b/>
          <w:bCs/>
          <w:i/>
          <w:iCs/>
          <w:sz w:val="20"/>
          <w:szCs w:val="20"/>
        </w:rPr>
        <w:t xml:space="preserve"> </w:t>
      </w:r>
      <w:r w:rsidR="00F3771E" w:rsidRPr="00AA5BD1">
        <w:rPr>
          <w:b/>
          <w:bCs/>
          <w:sz w:val="20"/>
          <w:szCs w:val="20"/>
        </w:rPr>
        <w:t xml:space="preserve">з розподілу електричної енергії </w:t>
      </w:r>
      <w:r w:rsidR="003620A6" w:rsidRPr="00AA5BD1">
        <w:rPr>
          <w:rStyle w:val="a4"/>
          <w:sz w:val="20"/>
          <w:szCs w:val="20"/>
        </w:rPr>
        <w:t xml:space="preserve"> </w:t>
      </w:r>
      <w:r w:rsidR="00E27191" w:rsidRPr="00AA5BD1">
        <w:rPr>
          <w:sz w:val="20"/>
          <w:szCs w:val="20"/>
          <w:shd w:val="clear" w:color="auto" w:fill="FFFFFF"/>
        </w:rPr>
        <w:t>з посиланням на експертні, нормативні, технічні та інші документи, що підтверджують наявність умов застосування переговорної процедури закупі</w:t>
      </w:r>
      <w:r w:rsidR="00E33843" w:rsidRPr="00AA5BD1">
        <w:rPr>
          <w:sz w:val="20"/>
          <w:szCs w:val="20"/>
          <w:shd w:val="clear" w:color="auto" w:fill="FFFFFF"/>
        </w:rPr>
        <w:t>влі</w:t>
      </w:r>
    </w:p>
    <w:p w:rsidR="00B44B74" w:rsidRDefault="00B44B74" w:rsidP="00B44B74">
      <w:pPr>
        <w:spacing w:before="100" w:beforeAutospacing="1" w:after="100" w:afterAutospacing="1" w:line="240" w:lineRule="auto"/>
        <w:jc w:val="both"/>
        <w:rPr>
          <w:rStyle w:val="ab"/>
          <w:bCs/>
        </w:rPr>
      </w:pPr>
      <w:r>
        <w:rPr>
          <w:rStyle w:val="ab"/>
          <w:bCs/>
          <w:sz w:val="20"/>
          <w:szCs w:val="20"/>
        </w:rPr>
        <w:t>(оприлюднюється на виконання постанови КМУ № 710 від 11.10.2016 «Про ефективне використання державних коштів» (зі змінами))</w:t>
      </w:r>
    </w:p>
    <w:p w:rsidR="00B44B74" w:rsidRDefault="00B44B74" w:rsidP="00B44B74">
      <w:pPr>
        <w:spacing w:before="100" w:beforeAutospacing="1" w:after="100" w:afterAutospacing="1" w:line="240" w:lineRule="auto"/>
        <w:jc w:val="both"/>
        <w:rPr>
          <w:rStyle w:val="ab"/>
          <w:b/>
          <w:bCs/>
          <w:i w:val="0"/>
          <w:sz w:val="20"/>
          <w:szCs w:val="20"/>
        </w:rPr>
      </w:pPr>
      <w:r>
        <w:rPr>
          <w:rStyle w:val="ab"/>
          <w:b/>
          <w:bCs/>
          <w:sz w:val="20"/>
          <w:szCs w:val="20"/>
        </w:rPr>
        <w:t xml:space="preserve">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 </w:t>
      </w:r>
    </w:p>
    <w:p w:rsidR="00B44B74" w:rsidRDefault="00B44B74" w:rsidP="00B44B74">
      <w:pPr>
        <w:pStyle w:val="aa"/>
        <w:numPr>
          <w:ilvl w:val="0"/>
          <w:numId w:val="4"/>
        </w:numPr>
        <w:spacing w:before="100" w:beforeAutospacing="1" w:after="100" w:afterAutospacing="1"/>
        <w:jc w:val="both"/>
      </w:pPr>
      <w:r>
        <w:rPr>
          <w:sz w:val="20"/>
          <w:szCs w:val="20"/>
        </w:rPr>
        <w:t>Відділ освіти, культури, молоді та спорту Літинської селищної ради;</w:t>
      </w:r>
    </w:p>
    <w:p w:rsidR="00B44B74" w:rsidRDefault="00B44B74" w:rsidP="00B44B74">
      <w:pPr>
        <w:pStyle w:val="aa"/>
        <w:numPr>
          <w:ilvl w:val="0"/>
          <w:numId w:val="4"/>
        </w:numPr>
        <w:spacing w:line="276" w:lineRule="auto"/>
        <w:jc w:val="both"/>
        <w:rPr>
          <w:sz w:val="20"/>
          <w:szCs w:val="20"/>
        </w:rPr>
      </w:pPr>
      <w:r>
        <w:rPr>
          <w:sz w:val="20"/>
          <w:szCs w:val="20"/>
        </w:rPr>
        <w:t xml:space="preserve">22300, Вінницька обл., смт. </w:t>
      </w:r>
      <w:proofErr w:type="spellStart"/>
      <w:r>
        <w:rPr>
          <w:sz w:val="20"/>
          <w:szCs w:val="20"/>
        </w:rPr>
        <w:t>Літин</w:t>
      </w:r>
      <w:proofErr w:type="spellEnd"/>
      <w:r>
        <w:rPr>
          <w:sz w:val="20"/>
          <w:szCs w:val="20"/>
        </w:rPr>
        <w:t>, вул. Соборна,32.</w:t>
      </w:r>
    </w:p>
    <w:p w:rsidR="00B44B74" w:rsidRDefault="00B44B74" w:rsidP="00B44B74">
      <w:pPr>
        <w:pStyle w:val="aa"/>
        <w:numPr>
          <w:ilvl w:val="0"/>
          <w:numId w:val="4"/>
        </w:numPr>
        <w:spacing w:before="100" w:beforeAutospacing="1" w:after="100" w:afterAutospacing="1"/>
        <w:jc w:val="both"/>
        <w:rPr>
          <w:b/>
          <w:bCs/>
          <w:iCs/>
          <w:sz w:val="20"/>
          <w:szCs w:val="20"/>
        </w:rPr>
      </w:pPr>
      <w:r>
        <w:rPr>
          <w:color w:val="000000"/>
          <w:sz w:val="20"/>
          <w:szCs w:val="20"/>
        </w:rPr>
        <w:t>43863849.</w:t>
      </w:r>
    </w:p>
    <w:p w:rsidR="00B44B74" w:rsidRPr="00B44B74" w:rsidRDefault="00B44B74" w:rsidP="00B44B74">
      <w:pPr>
        <w:pStyle w:val="a3"/>
        <w:spacing w:before="0" w:beforeAutospacing="0"/>
        <w:jc w:val="both"/>
        <w:rPr>
          <w:rStyle w:val="a4"/>
          <w:sz w:val="20"/>
          <w:szCs w:val="20"/>
        </w:rPr>
      </w:pPr>
      <w:r>
        <w:rPr>
          <w:b/>
          <w:bCs/>
          <w:iCs/>
          <w:color w:val="000000"/>
          <w:sz w:val="20"/>
          <w:szCs w:val="20"/>
        </w:rPr>
        <w:t xml:space="preserve">       Назва предмета закупівлі </w:t>
      </w:r>
      <w:r>
        <w:rPr>
          <w:b/>
          <w:color w:val="000000"/>
          <w:sz w:val="20"/>
          <w:szCs w:val="20"/>
        </w:rPr>
        <w:t>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й частин предмета закупівлі (лотів) (за наявності):</w:t>
      </w:r>
      <w:r w:rsidRPr="00B44B74">
        <w:rPr>
          <w:sz w:val="20"/>
          <w:szCs w:val="20"/>
        </w:rPr>
        <w:t xml:space="preserve"> </w:t>
      </w:r>
      <w:r w:rsidRPr="00AA5BD1">
        <w:rPr>
          <w:sz w:val="20"/>
          <w:szCs w:val="20"/>
        </w:rPr>
        <w:t>Розподіл природного газу</w:t>
      </w:r>
      <w:r>
        <w:rPr>
          <w:sz w:val="20"/>
          <w:szCs w:val="20"/>
        </w:rPr>
        <w:t xml:space="preserve"> (</w:t>
      </w:r>
      <w:r w:rsidRPr="00AA5BD1">
        <w:rPr>
          <w:sz w:val="20"/>
          <w:szCs w:val="20"/>
        </w:rPr>
        <w:t xml:space="preserve">ДК 021:2015 - </w:t>
      </w:r>
      <w:r w:rsidRPr="00AA5BD1">
        <w:rPr>
          <w:spacing w:val="2"/>
          <w:sz w:val="20"/>
          <w:szCs w:val="20"/>
          <w:shd w:val="clear" w:color="auto" w:fill="F5F5F5"/>
        </w:rPr>
        <w:t>65210000-8 -</w:t>
      </w:r>
      <w:r w:rsidRPr="00AA5BD1">
        <w:rPr>
          <w:sz w:val="20"/>
          <w:szCs w:val="20"/>
        </w:rPr>
        <w:t xml:space="preserve"> </w:t>
      </w:r>
      <w:r w:rsidRPr="00AA5BD1">
        <w:rPr>
          <w:spacing w:val="2"/>
          <w:sz w:val="20"/>
          <w:szCs w:val="20"/>
        </w:rPr>
        <w:t>Розподіл газу</w:t>
      </w:r>
      <w:r>
        <w:rPr>
          <w:spacing w:val="2"/>
          <w:sz w:val="20"/>
          <w:szCs w:val="20"/>
        </w:rPr>
        <w:t>)</w:t>
      </w:r>
    </w:p>
    <w:p w:rsidR="00B44B74" w:rsidRDefault="00B44B74" w:rsidP="000E4AD8">
      <w:pPr>
        <w:pStyle w:val="a3"/>
        <w:jc w:val="both"/>
        <w:rPr>
          <w:rStyle w:val="a4"/>
          <w:b w:val="0"/>
          <w:sz w:val="20"/>
          <w:szCs w:val="20"/>
        </w:rPr>
      </w:pPr>
      <w:r>
        <w:rPr>
          <w:b/>
          <w:sz w:val="20"/>
          <w:szCs w:val="20"/>
        </w:rPr>
        <w:t>Вид процедури закупівлі</w:t>
      </w:r>
      <w:r>
        <w:rPr>
          <w:b/>
          <w:bCs/>
          <w:sz w:val="20"/>
          <w:szCs w:val="20"/>
        </w:rPr>
        <w:t xml:space="preserve">: </w:t>
      </w:r>
      <w:r w:rsidRPr="00B44B74">
        <w:rPr>
          <w:bCs/>
          <w:sz w:val="20"/>
          <w:szCs w:val="20"/>
        </w:rPr>
        <w:t>Переговорна процедура</w:t>
      </w:r>
      <w:r>
        <w:rPr>
          <w:b/>
          <w:bCs/>
          <w:sz w:val="20"/>
          <w:szCs w:val="20"/>
        </w:rPr>
        <w:t xml:space="preserve"> </w:t>
      </w:r>
      <w:r w:rsidR="00AA5BD1">
        <w:rPr>
          <w:rStyle w:val="a4"/>
          <w:b w:val="0"/>
          <w:sz w:val="20"/>
          <w:szCs w:val="20"/>
        </w:rPr>
        <w:t xml:space="preserve">       </w:t>
      </w:r>
      <w:r>
        <w:rPr>
          <w:rStyle w:val="a4"/>
          <w:b w:val="0"/>
          <w:sz w:val="20"/>
          <w:szCs w:val="20"/>
        </w:rPr>
        <w:t xml:space="preserve">. </w:t>
      </w:r>
    </w:p>
    <w:p w:rsidR="009C69C4" w:rsidRPr="009C69C4" w:rsidRDefault="009C69C4" w:rsidP="009C69C4">
      <w:pPr>
        <w:pStyle w:val="1"/>
        <w:numPr>
          <w:ilvl w:val="0"/>
          <w:numId w:val="0"/>
        </w:numPr>
        <w:jc w:val="both"/>
        <w:rPr>
          <w:rStyle w:val="a4"/>
          <w:b/>
          <w:bCs w:val="0"/>
          <w:sz w:val="20"/>
          <w:lang/>
        </w:rPr>
      </w:pPr>
      <w:r w:rsidRPr="009C69C4">
        <w:rPr>
          <w:sz w:val="20"/>
        </w:rPr>
        <w:t>Очікувана вартість та обґрунтування очікуваної вартості предмета закупівлі</w:t>
      </w:r>
      <w:r w:rsidRPr="009C69C4">
        <w:rPr>
          <w:bCs/>
          <w:sz w:val="20"/>
        </w:rPr>
        <w:t>:</w:t>
      </w:r>
      <w:r>
        <w:rPr>
          <w:b w:val="0"/>
          <w:bCs/>
          <w:sz w:val="20"/>
        </w:rPr>
        <w:t xml:space="preserve"> </w:t>
      </w:r>
      <w:r w:rsidRPr="009C69C4">
        <w:rPr>
          <w:b w:val="0"/>
          <w:sz w:val="20"/>
        </w:rPr>
        <w:t>384 771,75 грн..</w:t>
      </w:r>
    </w:p>
    <w:tbl>
      <w:tblPr>
        <w:tblW w:w="6885" w:type="dxa"/>
        <w:tblCellSpacing w:w="15" w:type="dxa"/>
        <w:shd w:val="clear" w:color="auto" w:fill="EEEEEE"/>
        <w:tblCellMar>
          <w:top w:w="15" w:type="dxa"/>
          <w:left w:w="15" w:type="dxa"/>
          <w:bottom w:w="15" w:type="dxa"/>
          <w:right w:w="15" w:type="dxa"/>
        </w:tblCellMar>
        <w:tblLook w:val="04A0" w:firstRow="1" w:lastRow="0" w:firstColumn="1" w:lastColumn="0" w:noHBand="0" w:noVBand="1"/>
      </w:tblPr>
      <w:tblGrid>
        <w:gridCol w:w="3264"/>
        <w:gridCol w:w="3621"/>
      </w:tblGrid>
      <w:tr w:rsidR="00B44B74" w:rsidRPr="00B44B74" w:rsidTr="009C69C4">
        <w:trPr>
          <w:trHeight w:val="96"/>
          <w:tblCellSpacing w:w="15" w:type="dxa"/>
        </w:trPr>
        <w:tc>
          <w:tcPr>
            <w:tcW w:w="0" w:type="auto"/>
            <w:shd w:val="clear" w:color="auto" w:fill="EEEEEE"/>
            <w:tcMar>
              <w:top w:w="15" w:type="dxa"/>
              <w:left w:w="15" w:type="dxa"/>
              <w:bottom w:w="150" w:type="dxa"/>
              <w:right w:w="150" w:type="dxa"/>
            </w:tcMar>
            <w:vAlign w:val="center"/>
            <w:hideMark/>
          </w:tcPr>
          <w:p w:rsidR="00B44B74" w:rsidRPr="00B44B74" w:rsidRDefault="00B44B74" w:rsidP="00B44B74">
            <w:pPr>
              <w:pStyle w:val="1"/>
              <w:numPr>
                <w:ilvl w:val="0"/>
                <w:numId w:val="0"/>
              </w:numPr>
              <w:jc w:val="left"/>
              <w:rPr>
                <w:sz w:val="20"/>
                <w:lang/>
              </w:rPr>
            </w:pPr>
            <w:r w:rsidRPr="00B44B74">
              <w:rPr>
                <w:sz w:val="20"/>
                <w:lang/>
              </w:rPr>
              <w:t>Ідентифікатор закупівлі</w:t>
            </w:r>
          </w:p>
        </w:tc>
        <w:tc>
          <w:tcPr>
            <w:tcW w:w="0" w:type="auto"/>
            <w:shd w:val="clear" w:color="auto" w:fill="EEEEEE"/>
            <w:tcMar>
              <w:top w:w="15" w:type="dxa"/>
              <w:left w:w="15" w:type="dxa"/>
              <w:bottom w:w="150" w:type="dxa"/>
              <w:right w:w="150" w:type="dxa"/>
            </w:tcMar>
            <w:vAlign w:val="center"/>
            <w:hideMark/>
          </w:tcPr>
          <w:p w:rsidR="00B44B74" w:rsidRPr="009C69C4" w:rsidRDefault="00EC3F6F" w:rsidP="00B44B74">
            <w:pPr>
              <w:pStyle w:val="1"/>
              <w:rPr>
                <w:b w:val="0"/>
                <w:sz w:val="20"/>
                <w:lang/>
              </w:rPr>
            </w:pPr>
            <w:hyperlink r:id="rId6" w:tgtFrame="_blank" w:tooltip="Оголошення на порталі Уповноваженого органу" w:history="1">
              <w:r w:rsidR="00B44B74" w:rsidRPr="009C69C4">
                <w:rPr>
                  <w:b w:val="0"/>
                  <w:color w:val="000000"/>
                  <w:sz w:val="20"/>
                  <w:bdr w:val="none" w:sz="0" w:space="0" w:color="auto" w:frame="1"/>
                  <w:lang/>
                </w:rPr>
                <w:t>UA-2021-08-04-002609-c</w:t>
              </w:r>
            </w:hyperlink>
          </w:p>
        </w:tc>
      </w:tr>
      <w:tr w:rsidR="00B44B74" w:rsidRPr="00B44B74" w:rsidTr="009C69C4">
        <w:trPr>
          <w:trHeight w:val="29"/>
          <w:tblCellSpacing w:w="15" w:type="dxa"/>
        </w:trPr>
        <w:tc>
          <w:tcPr>
            <w:tcW w:w="0" w:type="auto"/>
            <w:shd w:val="clear" w:color="auto" w:fill="EEEEEE"/>
            <w:tcMar>
              <w:top w:w="15" w:type="dxa"/>
              <w:left w:w="15" w:type="dxa"/>
              <w:bottom w:w="150" w:type="dxa"/>
              <w:right w:w="150" w:type="dxa"/>
            </w:tcMar>
            <w:vAlign w:val="center"/>
          </w:tcPr>
          <w:p w:rsidR="00B44B74" w:rsidRPr="00B44B74" w:rsidRDefault="00B44B74" w:rsidP="00B44B74">
            <w:pPr>
              <w:pStyle w:val="1"/>
              <w:numPr>
                <w:ilvl w:val="0"/>
                <w:numId w:val="0"/>
              </w:numPr>
              <w:jc w:val="left"/>
              <w:rPr>
                <w:sz w:val="20"/>
                <w:lang/>
              </w:rPr>
            </w:pPr>
          </w:p>
        </w:tc>
        <w:tc>
          <w:tcPr>
            <w:tcW w:w="0" w:type="auto"/>
            <w:shd w:val="clear" w:color="auto" w:fill="EEEEEE"/>
            <w:tcMar>
              <w:top w:w="15" w:type="dxa"/>
              <w:left w:w="15" w:type="dxa"/>
              <w:bottom w:w="150" w:type="dxa"/>
              <w:right w:w="150" w:type="dxa"/>
            </w:tcMar>
            <w:vAlign w:val="center"/>
          </w:tcPr>
          <w:p w:rsidR="00B44B74" w:rsidRPr="00B44B74" w:rsidRDefault="00B44B74" w:rsidP="009C69C4">
            <w:pPr>
              <w:pStyle w:val="1"/>
              <w:numPr>
                <w:ilvl w:val="0"/>
                <w:numId w:val="0"/>
              </w:numPr>
              <w:jc w:val="left"/>
              <w:rPr>
                <w:sz w:val="20"/>
                <w:lang/>
              </w:rPr>
            </w:pPr>
          </w:p>
        </w:tc>
      </w:tr>
    </w:tbl>
    <w:p w:rsidR="006735C7" w:rsidRPr="00AA5BD1" w:rsidRDefault="00AA5BD1" w:rsidP="000E4AD8">
      <w:pPr>
        <w:pStyle w:val="a3"/>
        <w:jc w:val="both"/>
        <w:rPr>
          <w:rStyle w:val="a4"/>
          <w:b w:val="0"/>
          <w:sz w:val="20"/>
          <w:szCs w:val="20"/>
        </w:rPr>
      </w:pPr>
      <w:r>
        <w:rPr>
          <w:rStyle w:val="a4"/>
          <w:b w:val="0"/>
          <w:sz w:val="20"/>
          <w:szCs w:val="20"/>
        </w:rPr>
        <w:t xml:space="preserve"> </w:t>
      </w:r>
      <w:r w:rsidR="006735C7" w:rsidRPr="00AA5BD1">
        <w:rPr>
          <w:rStyle w:val="a4"/>
          <w:b w:val="0"/>
          <w:sz w:val="20"/>
          <w:szCs w:val="20"/>
        </w:rPr>
        <w:t>Відповідно до Закону України «Про публічні закупівлі»</w:t>
      </w:r>
      <w:r w:rsidR="000E4AD8" w:rsidRPr="00AA5BD1">
        <w:rPr>
          <w:rStyle w:val="a4"/>
          <w:b w:val="0"/>
          <w:sz w:val="20"/>
          <w:szCs w:val="20"/>
        </w:rPr>
        <w:t xml:space="preserve"> (далі – Закон)</w:t>
      </w:r>
      <w:r w:rsidR="006735C7" w:rsidRPr="00AA5BD1">
        <w:rPr>
          <w:rStyle w:val="a4"/>
          <w:b w:val="0"/>
          <w:sz w:val="20"/>
          <w:szCs w:val="20"/>
        </w:rPr>
        <w:t xml:space="preserve"> </w:t>
      </w:r>
      <w:r w:rsidR="00A7632E" w:rsidRPr="00AA5BD1">
        <w:rPr>
          <w:rStyle w:val="a4"/>
          <w:b w:val="0"/>
          <w:sz w:val="20"/>
          <w:szCs w:val="20"/>
        </w:rPr>
        <w:t>у</w:t>
      </w:r>
      <w:r w:rsidR="006735C7" w:rsidRPr="00AA5BD1">
        <w:rPr>
          <w:rStyle w:val="a4"/>
          <w:b w:val="0"/>
          <w:sz w:val="20"/>
          <w:szCs w:val="20"/>
        </w:rPr>
        <w:t xml:space="preserve"> разі, якщо вартість предмета закупівлі дорівнює або перевищує 200 тис. гривень, необхідно дотримуватись принципів здійснення публічних закупівель.</w:t>
      </w:r>
    </w:p>
    <w:p w:rsidR="000E4AD8" w:rsidRPr="00AA5BD1" w:rsidRDefault="000E4AD8" w:rsidP="000E4AD8">
      <w:pPr>
        <w:pStyle w:val="rvps2"/>
        <w:jc w:val="both"/>
        <w:rPr>
          <w:sz w:val="20"/>
          <w:szCs w:val="20"/>
        </w:rPr>
      </w:pPr>
      <w:r w:rsidRPr="00AA5BD1">
        <w:rPr>
          <w:rStyle w:val="a4"/>
          <w:b w:val="0"/>
          <w:sz w:val="20"/>
          <w:szCs w:val="20"/>
        </w:rPr>
        <w:t xml:space="preserve">Так, у відповідності до положень ст. 40 Закону, </w:t>
      </w:r>
      <w:r w:rsidRPr="00AA5BD1">
        <w:rPr>
          <w:rStyle w:val="rvts0"/>
          <w:sz w:val="20"/>
          <w:szCs w:val="20"/>
        </w:rPr>
        <w:t xml:space="preserve">переговорна процедура закупівлі застосовується замовником як виняток у разі </w:t>
      </w:r>
      <w:r w:rsidRPr="00AA5BD1">
        <w:rPr>
          <w:sz w:val="20"/>
          <w:szCs w:val="20"/>
        </w:rPr>
        <w:t>якщо роботи, товари чи послуги можуть бути виконані, поставлені чи надані виключно певним суб’єктом господарювання за наявності одного з таких випадків, а саме</w:t>
      </w:r>
      <w:bookmarkStart w:id="1" w:name="n1722"/>
      <w:bookmarkStart w:id="2" w:name="n1724"/>
      <w:bookmarkEnd w:id="1"/>
      <w:bookmarkEnd w:id="2"/>
      <w:r w:rsidRPr="00AA5BD1">
        <w:rPr>
          <w:sz w:val="20"/>
          <w:szCs w:val="20"/>
        </w:rPr>
        <w:t xml:space="preserve"> відсутність конкуренції з технічних причин.</w:t>
      </w:r>
    </w:p>
    <w:p w:rsidR="00AA5BD1" w:rsidRPr="00AA5BD1" w:rsidRDefault="00AA5BD1" w:rsidP="00AA5BD1">
      <w:pPr>
        <w:pStyle w:val="2"/>
        <w:ind w:left="0" w:firstLine="720"/>
        <w:jc w:val="both"/>
        <w:rPr>
          <w:b w:val="0"/>
          <w:sz w:val="20"/>
          <w:szCs w:val="20"/>
          <w:u w:val="none"/>
        </w:rPr>
      </w:pPr>
      <w:r w:rsidRPr="00AA5BD1">
        <w:rPr>
          <w:b w:val="0"/>
          <w:sz w:val="20"/>
          <w:szCs w:val="20"/>
          <w:u w:val="none"/>
        </w:rPr>
        <w:t xml:space="preserve">Планування та здійснення процедур </w:t>
      </w:r>
      <w:proofErr w:type="spellStart"/>
      <w:r w:rsidRPr="00AA5BD1">
        <w:rPr>
          <w:b w:val="0"/>
          <w:sz w:val="20"/>
          <w:szCs w:val="20"/>
          <w:u w:val="none"/>
        </w:rPr>
        <w:t>закупівель</w:t>
      </w:r>
      <w:proofErr w:type="spellEnd"/>
      <w:r w:rsidRPr="00AA5BD1">
        <w:rPr>
          <w:b w:val="0"/>
          <w:sz w:val="20"/>
          <w:szCs w:val="20"/>
          <w:u w:val="none"/>
        </w:rPr>
        <w:t xml:space="preserve"> визначенні ст. 4 Закону України «Про публічні закупівлі» від 25.12.2015 року №922 – </w:t>
      </w:r>
      <w:r w:rsidRPr="00AA5BD1">
        <w:rPr>
          <w:b w:val="0"/>
          <w:sz w:val="20"/>
          <w:szCs w:val="20"/>
          <w:u w:val="none"/>
          <w:lang w:val="en-US"/>
        </w:rPr>
        <w:t>VIII</w:t>
      </w:r>
      <w:r w:rsidRPr="00AA5BD1">
        <w:rPr>
          <w:b w:val="0"/>
          <w:sz w:val="20"/>
          <w:szCs w:val="20"/>
          <w:u w:val="none"/>
        </w:rPr>
        <w:t xml:space="preserve">   про необхідність здійснення закупівлі  послуги з розподілу природного газу </w:t>
      </w:r>
      <w:r w:rsidRPr="00AA5BD1">
        <w:rPr>
          <w:sz w:val="20"/>
          <w:szCs w:val="20"/>
        </w:rPr>
        <w:t xml:space="preserve">код ДК 021:2015 - </w:t>
      </w:r>
      <w:r w:rsidRPr="00AA5BD1">
        <w:rPr>
          <w:spacing w:val="2"/>
          <w:sz w:val="20"/>
          <w:szCs w:val="20"/>
          <w:shd w:val="clear" w:color="auto" w:fill="F5F5F5"/>
          <w:lang w:bidi="ar-SA"/>
        </w:rPr>
        <w:t>65210000-8 -</w:t>
      </w:r>
      <w:r w:rsidRPr="00AA5BD1">
        <w:rPr>
          <w:sz w:val="20"/>
          <w:szCs w:val="20"/>
          <w:lang w:bidi="ar-SA"/>
        </w:rPr>
        <w:t xml:space="preserve"> </w:t>
      </w:r>
      <w:r w:rsidRPr="00AA5BD1">
        <w:rPr>
          <w:spacing w:val="2"/>
          <w:sz w:val="20"/>
          <w:szCs w:val="20"/>
          <w:lang w:bidi="ar-SA"/>
        </w:rPr>
        <w:t>Розподіл газу (</w:t>
      </w:r>
      <w:r w:rsidRPr="00AA5BD1">
        <w:rPr>
          <w:sz w:val="20"/>
          <w:szCs w:val="20"/>
        </w:rPr>
        <w:t xml:space="preserve">Розподіл природного газу) </w:t>
      </w:r>
      <w:r w:rsidRPr="00AA5BD1">
        <w:rPr>
          <w:b w:val="0"/>
          <w:spacing w:val="2"/>
          <w:sz w:val="20"/>
          <w:szCs w:val="20"/>
          <w:u w:val="none"/>
          <w:lang w:bidi="ar-SA"/>
        </w:rPr>
        <w:t>для</w:t>
      </w:r>
      <w:r w:rsidRPr="00AA5BD1">
        <w:rPr>
          <w:spacing w:val="2"/>
          <w:sz w:val="20"/>
          <w:szCs w:val="20"/>
          <w:u w:val="none"/>
          <w:lang w:bidi="ar-SA"/>
        </w:rPr>
        <w:t xml:space="preserve"> </w:t>
      </w:r>
      <w:r w:rsidRPr="00AA5BD1">
        <w:rPr>
          <w:b w:val="0"/>
          <w:spacing w:val="2"/>
          <w:sz w:val="20"/>
          <w:szCs w:val="20"/>
          <w:u w:val="none"/>
          <w:lang w:bidi="ar-SA"/>
        </w:rPr>
        <w:t xml:space="preserve">безперебійного користування природнім газом </w:t>
      </w:r>
      <w:r w:rsidRPr="00AA5BD1">
        <w:rPr>
          <w:b w:val="0"/>
          <w:i/>
          <w:sz w:val="20"/>
          <w:szCs w:val="20"/>
          <w:u w:val="none"/>
        </w:rPr>
        <w:t xml:space="preserve">на 01.07. 2021 р.- 31.12.2021 </w:t>
      </w:r>
      <w:proofErr w:type="spellStart"/>
      <w:r w:rsidRPr="00AA5BD1">
        <w:rPr>
          <w:b w:val="0"/>
          <w:i/>
          <w:sz w:val="20"/>
          <w:szCs w:val="20"/>
          <w:u w:val="none"/>
        </w:rPr>
        <w:t>р.</w:t>
      </w:r>
      <w:r w:rsidRPr="00AA5BD1">
        <w:rPr>
          <w:b w:val="0"/>
          <w:sz w:val="20"/>
          <w:szCs w:val="20"/>
          <w:u w:val="none"/>
        </w:rPr>
        <w:t>для</w:t>
      </w:r>
      <w:proofErr w:type="spellEnd"/>
      <w:r w:rsidRPr="00AA5BD1">
        <w:rPr>
          <w:b w:val="0"/>
          <w:sz w:val="20"/>
          <w:szCs w:val="20"/>
          <w:u w:val="none"/>
        </w:rPr>
        <w:t xml:space="preserve"> об’єктів, які підпорядковані Відділу освіти, культури, молоді та спорту Літинської селищної ради (далі – Замовник) та запропонувала розглянути та погодити правові підстави для застосування переговорної процедури (скороченої).</w:t>
      </w:r>
    </w:p>
    <w:p w:rsidR="00AA5BD1" w:rsidRPr="00AA5BD1" w:rsidRDefault="00AA5BD1" w:rsidP="00AA5BD1">
      <w:pPr>
        <w:ind w:firstLine="720"/>
        <w:contextualSpacing/>
        <w:jc w:val="both"/>
        <w:rPr>
          <w:rFonts w:ascii="Times New Roman" w:hAnsi="Times New Roman"/>
          <w:b/>
          <w:sz w:val="20"/>
          <w:szCs w:val="20"/>
          <w:u w:val="thick"/>
        </w:rPr>
      </w:pPr>
      <w:r w:rsidRPr="00AA5BD1">
        <w:rPr>
          <w:rFonts w:ascii="Times New Roman" w:hAnsi="Times New Roman"/>
          <w:sz w:val="20"/>
          <w:szCs w:val="20"/>
        </w:rPr>
        <w:t xml:space="preserve">  Згідно ч.1 ст. 40 Закону переговорна процедура закупівлі використовується замовником як виняток і відповідно до якої замовник укладає договір про закупівлю після проведення переговорів щодо ціни та інших умов договору про закупівлю з одним або кількома учасниками процедури закупівлі. Розподіл природного газу </w:t>
      </w:r>
      <w:r w:rsidRPr="00AA5BD1">
        <w:rPr>
          <w:rFonts w:ascii="Times New Roman" w:hAnsi="Times New Roman"/>
          <w:b/>
          <w:sz w:val="20"/>
          <w:szCs w:val="20"/>
        </w:rPr>
        <w:t xml:space="preserve">Акціонерним товариством «Оператор газорозподільної системи» </w:t>
      </w:r>
      <w:proofErr w:type="spellStart"/>
      <w:r w:rsidRPr="00AA5BD1">
        <w:rPr>
          <w:rFonts w:ascii="Times New Roman" w:hAnsi="Times New Roman"/>
          <w:b/>
          <w:sz w:val="20"/>
          <w:szCs w:val="20"/>
        </w:rPr>
        <w:t>Вінницягаз</w:t>
      </w:r>
      <w:proofErr w:type="spellEnd"/>
      <w:r w:rsidRPr="00AA5BD1">
        <w:rPr>
          <w:rFonts w:ascii="Times New Roman" w:hAnsi="Times New Roman"/>
          <w:b/>
          <w:sz w:val="20"/>
          <w:szCs w:val="20"/>
        </w:rPr>
        <w:t>»</w:t>
      </w:r>
      <w:r w:rsidRPr="00AA5BD1">
        <w:rPr>
          <w:rFonts w:ascii="Times New Roman" w:hAnsi="Times New Roman"/>
          <w:sz w:val="20"/>
          <w:szCs w:val="20"/>
        </w:rPr>
        <w:t xml:space="preserve"> здійснюється на підставі ліцензії на розподіл природного газу, виданої згідно постанови Національної комісії, що здійснює державне регулювання у сферах енергетики та комунальних послуг від 19.06.2017 №811 (з урахуванням змін, внесених постановою від 11.06.2018 року №1025). </w:t>
      </w:r>
    </w:p>
    <w:p w:rsidR="00AA5BD1" w:rsidRPr="00AA5BD1" w:rsidRDefault="00AA5BD1" w:rsidP="00AA5BD1">
      <w:pPr>
        <w:ind w:firstLine="720"/>
        <w:contextualSpacing/>
        <w:jc w:val="both"/>
        <w:rPr>
          <w:rFonts w:ascii="Times New Roman" w:hAnsi="Times New Roman"/>
          <w:sz w:val="20"/>
          <w:szCs w:val="20"/>
        </w:rPr>
      </w:pPr>
      <w:r w:rsidRPr="00AA5BD1">
        <w:rPr>
          <w:rFonts w:ascii="Times New Roman" w:hAnsi="Times New Roman"/>
          <w:sz w:val="20"/>
          <w:szCs w:val="20"/>
        </w:rPr>
        <w:t xml:space="preserve">  Нормативно-правовими документами, які встановлюють вимоги та регулюють взаємовідносини між оператором системи розподілу </w:t>
      </w:r>
      <w:r w:rsidRPr="00AA5BD1">
        <w:rPr>
          <w:rFonts w:ascii="Times New Roman" w:hAnsi="Times New Roman"/>
          <w:b/>
          <w:sz w:val="20"/>
          <w:szCs w:val="20"/>
          <w:u w:val="thick"/>
        </w:rPr>
        <w:t xml:space="preserve">Акціонерне товариство «Оператор газорозподільної системи» </w:t>
      </w:r>
      <w:proofErr w:type="spellStart"/>
      <w:r w:rsidRPr="00AA5BD1">
        <w:rPr>
          <w:rFonts w:ascii="Times New Roman" w:hAnsi="Times New Roman"/>
          <w:b/>
          <w:sz w:val="20"/>
          <w:szCs w:val="20"/>
          <w:u w:val="thick"/>
        </w:rPr>
        <w:t>Вінницягаз</w:t>
      </w:r>
      <w:proofErr w:type="spellEnd"/>
      <w:r w:rsidRPr="00AA5BD1">
        <w:rPr>
          <w:rFonts w:ascii="Times New Roman" w:hAnsi="Times New Roman"/>
          <w:b/>
          <w:sz w:val="20"/>
          <w:szCs w:val="20"/>
          <w:u w:val="thick"/>
        </w:rPr>
        <w:t>»</w:t>
      </w:r>
      <w:r w:rsidRPr="00AA5BD1">
        <w:rPr>
          <w:rFonts w:ascii="Times New Roman" w:hAnsi="Times New Roman"/>
          <w:sz w:val="20"/>
          <w:szCs w:val="20"/>
        </w:rPr>
        <w:t xml:space="preserve"> та користувачами системи розподілу є розроблені відповідно до Закону України «Про ринок природного газу» і Кодексу газорозподільних систем, </w:t>
      </w:r>
      <w:r w:rsidRPr="00AA5BD1">
        <w:rPr>
          <w:rFonts w:ascii="Times New Roman" w:hAnsi="Times New Roman"/>
          <w:sz w:val="20"/>
          <w:szCs w:val="20"/>
        </w:rPr>
        <w:lastRenderedPageBreak/>
        <w:t>затвердженого постановою Національної комісії, що здійснює державне регулювання у сферах енергетики та комунальних послуг від 30 вересня 2015 року №2494 .</w:t>
      </w:r>
    </w:p>
    <w:p w:rsidR="00AA5BD1" w:rsidRPr="00AA5BD1" w:rsidRDefault="00AA5BD1" w:rsidP="00AA5BD1">
      <w:pPr>
        <w:ind w:firstLine="720"/>
        <w:contextualSpacing/>
        <w:jc w:val="both"/>
        <w:rPr>
          <w:rFonts w:ascii="Times New Roman" w:hAnsi="Times New Roman"/>
          <w:sz w:val="20"/>
          <w:szCs w:val="20"/>
        </w:rPr>
      </w:pPr>
      <w:r w:rsidRPr="00AA5BD1">
        <w:rPr>
          <w:rFonts w:ascii="Times New Roman" w:hAnsi="Times New Roman"/>
          <w:sz w:val="20"/>
          <w:szCs w:val="20"/>
        </w:rPr>
        <w:t xml:space="preserve">  Відповідно до ч.2 ст.5 Закону України «про природні монополії» передбачено, що перелік суб’єктів природніх монополій складаються та ведуться Антимонопольним комітетом України. Зазначений перелік суб’єктів природніх монополій розміщено на офіційному веб сайті Антимонопольного комітету в установленому порядку. При  цьому, відповідно до ст.13 вказаного закону національні комісії регулювання природніх монополій, зокрема складають і ведуть реєстри суб’єктів природніх монополій, діяльність яких регулюються відповідно до цього закону.</w:t>
      </w:r>
    </w:p>
    <w:p w:rsidR="00AA5BD1" w:rsidRPr="00AA5BD1" w:rsidRDefault="00AA5BD1" w:rsidP="00AA5BD1">
      <w:pPr>
        <w:ind w:firstLine="720"/>
        <w:contextualSpacing/>
        <w:jc w:val="both"/>
        <w:rPr>
          <w:rFonts w:ascii="Times New Roman" w:hAnsi="Times New Roman"/>
          <w:sz w:val="20"/>
          <w:szCs w:val="20"/>
        </w:rPr>
      </w:pPr>
      <w:r w:rsidRPr="00AA5BD1">
        <w:rPr>
          <w:rFonts w:ascii="Times New Roman" w:hAnsi="Times New Roman"/>
          <w:sz w:val="20"/>
          <w:szCs w:val="20"/>
        </w:rPr>
        <w:t xml:space="preserve">   Згідно зведеного переліку суб’єктів природніх монополій розміщено на офіційному веб сайті Антимонопольного комітету </w:t>
      </w:r>
      <w:hyperlink r:id="rId7" w:history="1">
        <w:r w:rsidRPr="00AA5BD1">
          <w:rPr>
            <w:rStyle w:val="a5"/>
            <w:rFonts w:ascii="Times New Roman" w:hAnsi="Times New Roman"/>
            <w:color w:val="auto"/>
            <w:sz w:val="20"/>
            <w:szCs w:val="20"/>
            <w:lang w:val="en-US"/>
          </w:rPr>
          <w:t>www</w:t>
        </w:r>
        <w:r w:rsidRPr="00AA5BD1">
          <w:rPr>
            <w:rStyle w:val="a5"/>
            <w:rFonts w:ascii="Times New Roman" w:hAnsi="Times New Roman"/>
            <w:color w:val="auto"/>
            <w:sz w:val="20"/>
            <w:szCs w:val="20"/>
          </w:rPr>
          <w:t>.</w:t>
        </w:r>
        <w:proofErr w:type="spellStart"/>
        <w:r w:rsidRPr="00AA5BD1">
          <w:rPr>
            <w:rStyle w:val="a5"/>
            <w:rFonts w:ascii="Times New Roman" w:hAnsi="Times New Roman"/>
            <w:color w:val="auto"/>
            <w:sz w:val="20"/>
            <w:szCs w:val="20"/>
            <w:lang w:val="en-US"/>
          </w:rPr>
          <w:t>amc</w:t>
        </w:r>
        <w:proofErr w:type="spellEnd"/>
        <w:r w:rsidRPr="00AA5BD1">
          <w:rPr>
            <w:rStyle w:val="a5"/>
            <w:rFonts w:ascii="Times New Roman" w:hAnsi="Times New Roman"/>
            <w:color w:val="auto"/>
            <w:sz w:val="20"/>
            <w:szCs w:val="20"/>
          </w:rPr>
          <w:t>.</w:t>
        </w:r>
        <w:proofErr w:type="spellStart"/>
        <w:r w:rsidRPr="00AA5BD1">
          <w:rPr>
            <w:rStyle w:val="a5"/>
            <w:rFonts w:ascii="Times New Roman" w:hAnsi="Times New Roman"/>
            <w:color w:val="auto"/>
            <w:sz w:val="20"/>
            <w:szCs w:val="20"/>
            <w:lang w:val="en-US"/>
          </w:rPr>
          <w:t>gov</w:t>
        </w:r>
        <w:proofErr w:type="spellEnd"/>
        <w:r w:rsidRPr="00AA5BD1">
          <w:rPr>
            <w:rStyle w:val="a5"/>
            <w:rFonts w:ascii="Times New Roman" w:hAnsi="Times New Roman"/>
            <w:color w:val="auto"/>
            <w:sz w:val="20"/>
            <w:szCs w:val="20"/>
          </w:rPr>
          <w:t>.</w:t>
        </w:r>
        <w:proofErr w:type="spellStart"/>
        <w:r w:rsidRPr="00AA5BD1">
          <w:rPr>
            <w:rStyle w:val="a5"/>
            <w:rFonts w:ascii="Times New Roman" w:hAnsi="Times New Roman"/>
            <w:color w:val="auto"/>
            <w:sz w:val="20"/>
            <w:szCs w:val="20"/>
            <w:lang w:val="en-US"/>
          </w:rPr>
          <w:t>ua</w:t>
        </w:r>
        <w:proofErr w:type="spellEnd"/>
      </w:hyperlink>
      <w:r w:rsidRPr="00AA5BD1">
        <w:rPr>
          <w:rFonts w:ascii="Times New Roman" w:hAnsi="Times New Roman"/>
          <w:sz w:val="20"/>
          <w:szCs w:val="20"/>
        </w:rPr>
        <w:t xml:space="preserve"> </w:t>
      </w:r>
      <w:r w:rsidRPr="00AA5BD1">
        <w:rPr>
          <w:rFonts w:ascii="Times New Roman" w:hAnsi="Times New Roman"/>
          <w:b/>
          <w:sz w:val="20"/>
          <w:szCs w:val="20"/>
          <w:u w:val="thick"/>
        </w:rPr>
        <w:t xml:space="preserve">Акціонерне товариство «Оператор газорозподільної системи» </w:t>
      </w:r>
      <w:proofErr w:type="spellStart"/>
      <w:r w:rsidRPr="00AA5BD1">
        <w:rPr>
          <w:rFonts w:ascii="Times New Roman" w:hAnsi="Times New Roman"/>
          <w:b/>
          <w:sz w:val="20"/>
          <w:szCs w:val="20"/>
          <w:u w:val="thick"/>
        </w:rPr>
        <w:t>Вінницягаз</w:t>
      </w:r>
      <w:proofErr w:type="spellEnd"/>
      <w:r w:rsidRPr="00AA5BD1">
        <w:rPr>
          <w:rFonts w:ascii="Times New Roman" w:hAnsi="Times New Roman"/>
          <w:b/>
          <w:sz w:val="20"/>
          <w:szCs w:val="20"/>
          <w:u w:val="thick"/>
        </w:rPr>
        <w:t>»</w:t>
      </w:r>
      <w:r w:rsidRPr="00AA5BD1">
        <w:rPr>
          <w:rFonts w:ascii="Times New Roman" w:hAnsi="Times New Roman"/>
          <w:sz w:val="20"/>
          <w:szCs w:val="20"/>
        </w:rPr>
        <w:t xml:space="preserve"> відносяться до суб’єктів природніх монополій Вінницької області.</w:t>
      </w:r>
    </w:p>
    <w:p w:rsidR="00AA5BD1" w:rsidRPr="00AA5BD1" w:rsidRDefault="00AA5BD1" w:rsidP="00AA5BD1">
      <w:pPr>
        <w:ind w:firstLine="720"/>
        <w:contextualSpacing/>
        <w:jc w:val="both"/>
        <w:rPr>
          <w:rFonts w:ascii="Times New Roman" w:hAnsi="Times New Roman"/>
          <w:sz w:val="20"/>
          <w:szCs w:val="20"/>
        </w:rPr>
      </w:pPr>
      <w:r w:rsidRPr="00AA5BD1">
        <w:rPr>
          <w:rFonts w:ascii="Times New Roman" w:hAnsi="Times New Roman"/>
          <w:b/>
          <w:sz w:val="20"/>
          <w:szCs w:val="20"/>
        </w:rPr>
        <w:t xml:space="preserve">   Наявність таких підстав</w:t>
      </w:r>
      <w:r w:rsidRPr="00AA5BD1">
        <w:rPr>
          <w:rFonts w:ascii="Times New Roman" w:hAnsi="Times New Roman"/>
          <w:sz w:val="20"/>
          <w:szCs w:val="20"/>
        </w:rPr>
        <w:t xml:space="preserve"> є основою для проведення переговорної процедури закупівлі, що визначені п. 2 ч. 2 ст. 40 Закону, а саме : «Якщо роботи, товари чи послуги можуть бути виконані, поставлені чи надані виключно певним суб’єктом господарювання за наявності одного з таких випадків  </w:t>
      </w:r>
      <w:r w:rsidRPr="00AA5BD1">
        <w:rPr>
          <w:rFonts w:ascii="Times New Roman" w:hAnsi="Times New Roman"/>
          <w:b/>
          <w:sz w:val="20"/>
          <w:szCs w:val="20"/>
        </w:rPr>
        <w:t>- відсутність конкуренції з технічних причин</w:t>
      </w:r>
      <w:r w:rsidRPr="00AA5BD1">
        <w:rPr>
          <w:rFonts w:ascii="Times New Roman" w:hAnsi="Times New Roman"/>
          <w:sz w:val="20"/>
          <w:szCs w:val="20"/>
        </w:rPr>
        <w:t>».</w:t>
      </w:r>
    </w:p>
    <w:p w:rsidR="00AA5BD1" w:rsidRPr="00AA5BD1" w:rsidRDefault="00AA5BD1" w:rsidP="00AA5BD1">
      <w:pPr>
        <w:ind w:firstLine="720"/>
        <w:contextualSpacing/>
        <w:jc w:val="both"/>
        <w:rPr>
          <w:rFonts w:ascii="Times New Roman" w:hAnsi="Times New Roman"/>
          <w:sz w:val="20"/>
          <w:szCs w:val="20"/>
        </w:rPr>
      </w:pPr>
      <w:r w:rsidRPr="00AA5BD1">
        <w:rPr>
          <w:rFonts w:ascii="Times New Roman" w:hAnsi="Times New Roman"/>
          <w:sz w:val="20"/>
          <w:szCs w:val="20"/>
        </w:rPr>
        <w:t xml:space="preserve">   Відповідно до вимог п.8 ч.6 ст.40 Закону повідомлення про намір укласти договір буде містити вищезазначене, як обґрунтування застосування переговорної процедури.</w:t>
      </w:r>
    </w:p>
    <w:p w:rsidR="00AA5BD1" w:rsidRPr="00AA5BD1" w:rsidRDefault="00AA5BD1" w:rsidP="00AA5BD1">
      <w:pPr>
        <w:ind w:firstLine="720"/>
        <w:contextualSpacing/>
        <w:jc w:val="both"/>
        <w:rPr>
          <w:rFonts w:ascii="Times New Roman" w:hAnsi="Times New Roman"/>
          <w:sz w:val="20"/>
          <w:szCs w:val="20"/>
        </w:rPr>
      </w:pPr>
      <w:r w:rsidRPr="00AA5BD1">
        <w:rPr>
          <w:rFonts w:ascii="Times New Roman" w:hAnsi="Times New Roman"/>
          <w:sz w:val="20"/>
          <w:szCs w:val="20"/>
        </w:rPr>
        <w:t xml:space="preserve">   Згідно ч.4 ст. 40 Закону за результатами проведених переговорів з учасником процедури закупівлі замовник приймає рішення про намір укласти договір про закупівлю. Повідомлення про намір укласти договір про закупівлю обов’язково оприлюднюється безоплатно в електронній системі </w:t>
      </w:r>
      <w:proofErr w:type="spellStart"/>
      <w:r w:rsidRPr="00AA5BD1">
        <w:rPr>
          <w:rFonts w:ascii="Times New Roman" w:hAnsi="Times New Roman"/>
          <w:sz w:val="20"/>
          <w:szCs w:val="20"/>
        </w:rPr>
        <w:t>закупівель</w:t>
      </w:r>
      <w:proofErr w:type="spellEnd"/>
      <w:r w:rsidRPr="00AA5BD1">
        <w:rPr>
          <w:rFonts w:ascii="Times New Roman" w:hAnsi="Times New Roman"/>
          <w:sz w:val="20"/>
          <w:szCs w:val="20"/>
        </w:rPr>
        <w:t xml:space="preserve"> протягом одного дня після ухвалення рішення.</w:t>
      </w:r>
    </w:p>
    <w:p w:rsidR="00AA5BD1" w:rsidRPr="00AA5BD1" w:rsidRDefault="00AA5BD1" w:rsidP="00AA5BD1">
      <w:pPr>
        <w:ind w:firstLine="720"/>
        <w:contextualSpacing/>
        <w:jc w:val="both"/>
        <w:rPr>
          <w:rFonts w:ascii="Times New Roman" w:hAnsi="Times New Roman"/>
          <w:sz w:val="20"/>
          <w:szCs w:val="20"/>
        </w:rPr>
      </w:pPr>
      <w:r w:rsidRPr="00AA5BD1">
        <w:rPr>
          <w:rFonts w:ascii="Times New Roman" w:hAnsi="Times New Roman"/>
          <w:sz w:val="20"/>
          <w:szCs w:val="20"/>
        </w:rPr>
        <w:t xml:space="preserve">    За результатами проведених переговорів сторонами погоджується обсяг закупівлі та її очікувана вартість </w:t>
      </w:r>
      <w:r w:rsidRPr="00AA5BD1">
        <w:rPr>
          <w:rFonts w:ascii="Times New Roman" w:hAnsi="Times New Roman"/>
          <w:b/>
          <w:sz w:val="20"/>
          <w:szCs w:val="20"/>
        </w:rPr>
        <w:t>на 01.07. 2021 р.- 31.12.2021 р</w:t>
      </w:r>
      <w:r w:rsidRPr="00AA5BD1">
        <w:rPr>
          <w:rFonts w:ascii="Times New Roman" w:hAnsi="Times New Roman"/>
          <w:sz w:val="20"/>
          <w:szCs w:val="20"/>
        </w:rPr>
        <w:t>., про що складається відповідний протокол переговорів.</w:t>
      </w:r>
    </w:p>
    <w:p w:rsidR="00AA5BD1" w:rsidRPr="00AA5BD1" w:rsidRDefault="00AA5BD1" w:rsidP="00AA5BD1">
      <w:pPr>
        <w:widowControl w:val="0"/>
        <w:autoSpaceDE w:val="0"/>
        <w:autoSpaceDN w:val="0"/>
        <w:spacing w:after="0"/>
        <w:jc w:val="both"/>
        <w:rPr>
          <w:rFonts w:ascii="Times New Roman" w:hAnsi="Times New Roman"/>
          <w:sz w:val="20"/>
          <w:szCs w:val="20"/>
        </w:rPr>
      </w:pPr>
      <w:r w:rsidRPr="00AA5BD1">
        <w:rPr>
          <w:rFonts w:ascii="Times New Roman" w:hAnsi="Times New Roman"/>
          <w:sz w:val="20"/>
          <w:szCs w:val="20"/>
        </w:rPr>
        <w:t xml:space="preserve">                В результаті переговорів було визначено обсяг та загальна суму закупівлі послуг з розподілу природного газу </w:t>
      </w:r>
      <w:r w:rsidRPr="00AA5BD1">
        <w:rPr>
          <w:rFonts w:ascii="Times New Roman" w:hAnsi="Times New Roman"/>
          <w:b/>
          <w:sz w:val="20"/>
          <w:szCs w:val="20"/>
        </w:rPr>
        <w:t>на</w:t>
      </w:r>
      <w:r w:rsidRPr="00AA5BD1">
        <w:rPr>
          <w:rFonts w:ascii="Times New Roman" w:hAnsi="Times New Roman"/>
          <w:b/>
          <w:sz w:val="20"/>
          <w:szCs w:val="20"/>
          <w:u w:val="single"/>
        </w:rPr>
        <w:t xml:space="preserve"> липень-грудень 2021 р.</w:t>
      </w:r>
      <w:r w:rsidRPr="00AA5BD1">
        <w:rPr>
          <w:rFonts w:ascii="Times New Roman" w:hAnsi="Times New Roman"/>
          <w:sz w:val="20"/>
          <w:szCs w:val="20"/>
        </w:rPr>
        <w:t>:</w:t>
      </w:r>
    </w:p>
    <w:p w:rsidR="00AA5BD1" w:rsidRPr="00AA5BD1" w:rsidRDefault="00AA5BD1" w:rsidP="00AA5BD1">
      <w:pPr>
        <w:pStyle w:val="aa"/>
        <w:widowControl w:val="0"/>
        <w:numPr>
          <w:ilvl w:val="0"/>
          <w:numId w:val="3"/>
        </w:numPr>
        <w:autoSpaceDE w:val="0"/>
        <w:autoSpaceDN w:val="0"/>
        <w:spacing w:after="0"/>
        <w:ind w:left="142" w:hanging="284"/>
        <w:jc w:val="both"/>
        <w:rPr>
          <w:sz w:val="20"/>
          <w:szCs w:val="20"/>
        </w:rPr>
      </w:pPr>
      <w:r w:rsidRPr="00AA5BD1">
        <w:rPr>
          <w:sz w:val="20"/>
          <w:szCs w:val="20"/>
        </w:rPr>
        <w:t xml:space="preserve">Величина замовленої потужності розрахована оператором ГРМ згідно до вимог Кодексу ГРМ </w:t>
      </w:r>
      <w:r w:rsidRPr="00AA5BD1">
        <w:rPr>
          <w:b/>
          <w:sz w:val="20"/>
          <w:szCs w:val="20"/>
        </w:rPr>
        <w:t>на липень-грудень 2021 р.</w:t>
      </w:r>
      <w:r w:rsidRPr="00AA5BD1">
        <w:rPr>
          <w:sz w:val="20"/>
          <w:szCs w:val="20"/>
        </w:rPr>
        <w:t xml:space="preserve"> становить: </w:t>
      </w:r>
      <w:r w:rsidRPr="00AA5BD1">
        <w:rPr>
          <w:b/>
          <w:sz w:val="20"/>
          <w:szCs w:val="20"/>
        </w:rPr>
        <w:t xml:space="preserve">190 859,00 </w:t>
      </w:r>
      <w:proofErr w:type="spellStart"/>
      <w:r w:rsidRPr="00AA5BD1">
        <w:rPr>
          <w:b/>
          <w:sz w:val="20"/>
          <w:szCs w:val="20"/>
        </w:rPr>
        <w:t>куб.м</w:t>
      </w:r>
      <w:proofErr w:type="spellEnd"/>
      <w:r w:rsidRPr="00AA5BD1">
        <w:rPr>
          <w:b/>
          <w:sz w:val="20"/>
          <w:szCs w:val="20"/>
        </w:rPr>
        <w:t>.</w:t>
      </w:r>
    </w:p>
    <w:p w:rsidR="00AA5BD1" w:rsidRPr="00AA5BD1" w:rsidRDefault="00AA5BD1" w:rsidP="00AA5BD1">
      <w:pPr>
        <w:pStyle w:val="aa"/>
        <w:widowControl w:val="0"/>
        <w:numPr>
          <w:ilvl w:val="0"/>
          <w:numId w:val="3"/>
        </w:numPr>
        <w:autoSpaceDE w:val="0"/>
        <w:autoSpaceDN w:val="0"/>
        <w:ind w:left="142" w:hanging="284"/>
        <w:jc w:val="both"/>
        <w:rPr>
          <w:sz w:val="20"/>
          <w:szCs w:val="20"/>
        </w:rPr>
      </w:pPr>
      <w:r w:rsidRPr="00AA5BD1">
        <w:rPr>
          <w:b/>
          <w:sz w:val="20"/>
          <w:szCs w:val="20"/>
        </w:rPr>
        <w:t>Загальна вартість</w:t>
      </w:r>
      <w:r w:rsidRPr="00AA5BD1">
        <w:rPr>
          <w:sz w:val="20"/>
          <w:szCs w:val="20"/>
        </w:rPr>
        <w:t xml:space="preserve"> замовленої </w:t>
      </w:r>
      <w:proofErr w:type="spellStart"/>
      <w:r w:rsidRPr="00AA5BD1">
        <w:rPr>
          <w:sz w:val="20"/>
          <w:szCs w:val="20"/>
        </w:rPr>
        <w:t>потужностісті</w:t>
      </w:r>
      <w:proofErr w:type="spellEnd"/>
      <w:r w:rsidRPr="00AA5BD1">
        <w:rPr>
          <w:sz w:val="20"/>
          <w:szCs w:val="20"/>
        </w:rPr>
        <w:t xml:space="preserve"> </w:t>
      </w:r>
      <w:r w:rsidRPr="00AA5BD1">
        <w:rPr>
          <w:b/>
          <w:sz w:val="20"/>
          <w:szCs w:val="20"/>
        </w:rPr>
        <w:t>на липень-грудень 2021 р</w:t>
      </w:r>
      <w:r w:rsidRPr="00AA5BD1">
        <w:rPr>
          <w:sz w:val="20"/>
          <w:szCs w:val="20"/>
        </w:rPr>
        <w:t>. складає:</w:t>
      </w:r>
    </w:p>
    <w:p w:rsidR="00AA5BD1" w:rsidRPr="00AA5BD1" w:rsidRDefault="00AA5BD1" w:rsidP="00AA5BD1">
      <w:pPr>
        <w:pStyle w:val="aa"/>
        <w:widowControl w:val="0"/>
        <w:autoSpaceDE w:val="0"/>
        <w:autoSpaceDN w:val="0"/>
        <w:spacing w:after="0"/>
        <w:ind w:left="142"/>
        <w:jc w:val="both"/>
        <w:rPr>
          <w:sz w:val="20"/>
          <w:szCs w:val="20"/>
        </w:rPr>
      </w:pPr>
      <w:r w:rsidRPr="00AA5BD1">
        <w:rPr>
          <w:b/>
          <w:sz w:val="20"/>
          <w:szCs w:val="20"/>
        </w:rPr>
        <w:t>384 771,75 грн.</w:t>
      </w:r>
      <w:r w:rsidRPr="00AA5BD1">
        <w:rPr>
          <w:sz w:val="20"/>
          <w:szCs w:val="20"/>
        </w:rPr>
        <w:t xml:space="preserve"> (триста вісімдесят чотири тисячі  сімсот сімдесят одна  грн. 75 коп.)  з урахуванням ПДВ.</w:t>
      </w:r>
    </w:p>
    <w:p w:rsidR="00AA5BD1" w:rsidRPr="00AA5BD1" w:rsidRDefault="00AA5BD1" w:rsidP="00AA5BD1">
      <w:pPr>
        <w:pStyle w:val="aa"/>
        <w:widowControl w:val="0"/>
        <w:numPr>
          <w:ilvl w:val="0"/>
          <w:numId w:val="3"/>
        </w:numPr>
        <w:autoSpaceDE w:val="0"/>
        <w:autoSpaceDN w:val="0"/>
        <w:spacing w:after="0"/>
        <w:ind w:left="142" w:hanging="284"/>
        <w:jc w:val="both"/>
        <w:rPr>
          <w:sz w:val="20"/>
          <w:szCs w:val="20"/>
        </w:rPr>
      </w:pPr>
      <w:r w:rsidRPr="00AA5BD1">
        <w:rPr>
          <w:sz w:val="20"/>
          <w:szCs w:val="20"/>
        </w:rPr>
        <w:t xml:space="preserve">Строки надання послуг </w:t>
      </w:r>
      <w:r w:rsidRPr="00AA5BD1">
        <w:rPr>
          <w:b/>
          <w:sz w:val="20"/>
          <w:szCs w:val="20"/>
        </w:rPr>
        <w:t>з 01.07.2021 року</w:t>
      </w:r>
      <w:r w:rsidRPr="00AA5BD1">
        <w:rPr>
          <w:sz w:val="20"/>
          <w:szCs w:val="20"/>
        </w:rPr>
        <w:t xml:space="preserve">  </w:t>
      </w:r>
      <w:r w:rsidRPr="00AA5BD1">
        <w:rPr>
          <w:b/>
          <w:sz w:val="20"/>
          <w:szCs w:val="20"/>
        </w:rPr>
        <w:t>до 31.12.2021 року.</w:t>
      </w:r>
    </w:p>
    <w:p w:rsidR="00AA5BD1" w:rsidRPr="00AA5BD1" w:rsidRDefault="00AA5BD1" w:rsidP="00AA5BD1">
      <w:pPr>
        <w:widowControl w:val="0"/>
        <w:autoSpaceDE w:val="0"/>
        <w:autoSpaceDN w:val="0"/>
        <w:spacing w:after="0"/>
        <w:jc w:val="both"/>
        <w:rPr>
          <w:rFonts w:ascii="Times New Roman" w:hAnsi="Times New Roman"/>
          <w:sz w:val="20"/>
          <w:szCs w:val="20"/>
        </w:rPr>
      </w:pPr>
      <w:r w:rsidRPr="00AA5BD1">
        <w:rPr>
          <w:rFonts w:ascii="Times New Roman" w:hAnsi="Times New Roman"/>
          <w:sz w:val="20"/>
          <w:szCs w:val="20"/>
        </w:rPr>
        <w:t xml:space="preserve">                  Обґрунтування застосування переговорної процедури:</w:t>
      </w:r>
    </w:p>
    <w:p w:rsidR="00644CF2" w:rsidRPr="00AA5BD1" w:rsidRDefault="00644CF2" w:rsidP="00644CF2">
      <w:pPr>
        <w:pStyle w:val="aa"/>
        <w:spacing w:after="0"/>
        <w:ind w:left="0"/>
        <w:jc w:val="both"/>
        <w:rPr>
          <w:b/>
          <w:i/>
          <w:sz w:val="20"/>
          <w:szCs w:val="20"/>
          <w:u w:val="thick"/>
        </w:rPr>
      </w:pPr>
      <w:r w:rsidRPr="00AA5BD1">
        <w:rPr>
          <w:i/>
          <w:sz w:val="20"/>
          <w:szCs w:val="20"/>
        </w:rPr>
        <w:t xml:space="preserve">     Згідно ч.1 ст. 40 Закону переговорна процедура закупівлі використовується замовником як виняток і відповідно до якої замовник укладає договір про закупівлю після проведення переговорів щодо ціни та інших умов договору про закупівлю з одним або кількома учасниками процедури закупівлі. Розподіл природнього газу </w:t>
      </w:r>
      <w:r w:rsidRPr="00AA5BD1">
        <w:rPr>
          <w:b/>
          <w:i/>
          <w:sz w:val="20"/>
          <w:szCs w:val="20"/>
        </w:rPr>
        <w:t xml:space="preserve">Акціонерним товариством «Оператор газорозподільної системи» </w:t>
      </w:r>
      <w:proofErr w:type="spellStart"/>
      <w:r w:rsidRPr="00AA5BD1">
        <w:rPr>
          <w:b/>
          <w:i/>
          <w:sz w:val="20"/>
          <w:szCs w:val="20"/>
        </w:rPr>
        <w:t>Вінницягаз</w:t>
      </w:r>
      <w:proofErr w:type="spellEnd"/>
      <w:r w:rsidRPr="00AA5BD1">
        <w:rPr>
          <w:b/>
          <w:i/>
          <w:sz w:val="20"/>
          <w:szCs w:val="20"/>
        </w:rPr>
        <w:t>»</w:t>
      </w:r>
      <w:r w:rsidRPr="00AA5BD1">
        <w:rPr>
          <w:i/>
          <w:sz w:val="20"/>
          <w:szCs w:val="20"/>
        </w:rPr>
        <w:t xml:space="preserve"> здійснюється на підставі ліцензії на розподіл природнього газу, виданої згідно постанови Національної комісії, що здійснює державне регулювання му сферах енергетики та комунальних послуг від 19.06.2017 №811 (з урахуванням змін, внесених постановою від 11.06.2018 року №1025). </w:t>
      </w:r>
    </w:p>
    <w:p w:rsidR="00644CF2" w:rsidRPr="00AA5BD1" w:rsidRDefault="00644CF2" w:rsidP="00644CF2">
      <w:pPr>
        <w:pStyle w:val="aa"/>
        <w:spacing w:after="0"/>
        <w:ind w:left="0"/>
        <w:jc w:val="both"/>
        <w:rPr>
          <w:i/>
          <w:sz w:val="20"/>
          <w:szCs w:val="20"/>
        </w:rPr>
      </w:pPr>
      <w:r w:rsidRPr="00AA5BD1">
        <w:rPr>
          <w:i/>
          <w:sz w:val="20"/>
          <w:szCs w:val="20"/>
        </w:rPr>
        <w:t xml:space="preserve">Нормативно-правовими документами, які встановлюють вимоги та регулюють взаємовідносини між оператором системи розподілу </w:t>
      </w:r>
      <w:r w:rsidRPr="00AA5BD1">
        <w:rPr>
          <w:b/>
          <w:i/>
          <w:sz w:val="20"/>
          <w:szCs w:val="20"/>
          <w:u w:val="thick"/>
        </w:rPr>
        <w:t xml:space="preserve">Акціонерне товариство «Оператор газорозподільної системи» </w:t>
      </w:r>
      <w:proofErr w:type="spellStart"/>
      <w:r w:rsidRPr="00AA5BD1">
        <w:rPr>
          <w:b/>
          <w:i/>
          <w:sz w:val="20"/>
          <w:szCs w:val="20"/>
          <w:u w:val="thick"/>
        </w:rPr>
        <w:t>Вінницягаз</w:t>
      </w:r>
      <w:proofErr w:type="spellEnd"/>
      <w:r w:rsidRPr="00AA5BD1">
        <w:rPr>
          <w:b/>
          <w:i/>
          <w:sz w:val="20"/>
          <w:szCs w:val="20"/>
          <w:u w:val="thick"/>
        </w:rPr>
        <w:t>»</w:t>
      </w:r>
      <w:r w:rsidRPr="00AA5BD1">
        <w:rPr>
          <w:i/>
          <w:sz w:val="20"/>
          <w:szCs w:val="20"/>
        </w:rPr>
        <w:t xml:space="preserve"> та користувачами системи розподілу є розроблені відповідно до Закону України «Про ринок природного газу» і Кодексу газорозподільних систем, затвердженого постановою Національної комісії, що здійснює державне регулювання у сферах енергетики та комунальних послуг від 30 вересня 2015 року №2494 .</w:t>
      </w:r>
    </w:p>
    <w:p w:rsidR="00644CF2" w:rsidRPr="00AA5BD1" w:rsidRDefault="00644CF2" w:rsidP="00644CF2">
      <w:pPr>
        <w:pStyle w:val="aa"/>
        <w:spacing w:after="0"/>
        <w:ind w:left="0"/>
        <w:jc w:val="both"/>
        <w:rPr>
          <w:bCs/>
          <w:i/>
          <w:sz w:val="20"/>
          <w:szCs w:val="20"/>
        </w:rPr>
      </w:pPr>
      <w:r w:rsidRPr="00AA5BD1">
        <w:rPr>
          <w:i/>
          <w:sz w:val="20"/>
          <w:szCs w:val="20"/>
        </w:rPr>
        <w:t xml:space="preserve">Відповідно до ч.2 ст.5 Закону України «Про природні монополії» передбачено, що перелік суб’єктів природніх монополій </w:t>
      </w:r>
      <w:r w:rsidRPr="00AA5BD1">
        <w:rPr>
          <w:b/>
          <w:bCs/>
          <w:i/>
          <w:sz w:val="20"/>
          <w:szCs w:val="20"/>
        </w:rPr>
        <w:t xml:space="preserve">ведеться Антимонопольним комітетом України на підставі реєстрів суб’єктів природних монополій що формуються національною комісією, </w:t>
      </w:r>
      <w:r w:rsidRPr="00AA5BD1">
        <w:rPr>
          <w:bCs/>
          <w:i/>
          <w:sz w:val="20"/>
          <w:szCs w:val="20"/>
        </w:rPr>
        <w:t xml:space="preserve">що здійснює державне регулювання у сфері комунальних послуг, а в інших сферах, в яких діють суб’єкти природних монополій, - </w:t>
      </w:r>
      <w:r w:rsidRPr="00AA5BD1">
        <w:rPr>
          <w:b/>
          <w:bCs/>
          <w:i/>
          <w:sz w:val="20"/>
          <w:szCs w:val="20"/>
        </w:rPr>
        <w:t>національними комісіями регулювання природних монополій</w:t>
      </w:r>
      <w:r w:rsidRPr="00AA5BD1">
        <w:rPr>
          <w:bCs/>
          <w:i/>
          <w:sz w:val="20"/>
          <w:szCs w:val="20"/>
        </w:rPr>
        <w:t xml:space="preserve"> у відповідній сфері або органами виконавчої влади, що здійснюють функції такого регулювання до створення зазначених комісій.</w:t>
      </w:r>
    </w:p>
    <w:p w:rsidR="00644CF2" w:rsidRPr="00AA5BD1" w:rsidRDefault="00644CF2" w:rsidP="00644CF2">
      <w:pPr>
        <w:pStyle w:val="aa"/>
        <w:spacing w:after="0"/>
        <w:ind w:left="0"/>
        <w:jc w:val="both"/>
        <w:rPr>
          <w:i/>
          <w:sz w:val="20"/>
          <w:szCs w:val="20"/>
        </w:rPr>
      </w:pPr>
      <w:r w:rsidRPr="00AA5BD1">
        <w:rPr>
          <w:i/>
          <w:sz w:val="20"/>
          <w:szCs w:val="20"/>
        </w:rPr>
        <w:t>Зазначений перелік суб’єктів природніх монополій розміщено на офіційному веб сайті  Антимонопольного комітету в установленому порядку. При  цьому, відповідно до ст.13 вказаного закону національні комісії регулювання природніх монополій, зокрема складають і ведуть реєстри суб’єктів природніх монополій, діяльність яких регулюються відповідно до цього закону.</w:t>
      </w:r>
    </w:p>
    <w:p w:rsidR="00644CF2" w:rsidRPr="00AA5BD1" w:rsidRDefault="00644CF2" w:rsidP="00644CF2">
      <w:pPr>
        <w:pStyle w:val="aa"/>
        <w:spacing w:after="0"/>
        <w:ind w:left="0"/>
        <w:jc w:val="both"/>
        <w:rPr>
          <w:i/>
          <w:sz w:val="20"/>
          <w:szCs w:val="20"/>
        </w:rPr>
      </w:pPr>
      <w:r w:rsidRPr="00AA5BD1">
        <w:rPr>
          <w:i/>
          <w:sz w:val="20"/>
          <w:szCs w:val="20"/>
        </w:rPr>
        <w:t xml:space="preserve">Згідно зведеного переліку суб’єктів природніх монополій розміщено на офіційному веб сайті Антимонопольного комітету </w:t>
      </w:r>
      <w:hyperlink r:id="rId8" w:history="1">
        <w:r w:rsidRPr="00AA5BD1">
          <w:rPr>
            <w:rStyle w:val="a5"/>
            <w:i/>
            <w:color w:val="auto"/>
            <w:sz w:val="20"/>
            <w:szCs w:val="20"/>
            <w:lang w:val="en-US"/>
          </w:rPr>
          <w:t>www</w:t>
        </w:r>
        <w:r w:rsidRPr="00AA5BD1">
          <w:rPr>
            <w:rStyle w:val="a5"/>
            <w:i/>
            <w:color w:val="auto"/>
            <w:sz w:val="20"/>
            <w:szCs w:val="20"/>
          </w:rPr>
          <w:t>.</w:t>
        </w:r>
        <w:proofErr w:type="spellStart"/>
        <w:r w:rsidRPr="00AA5BD1">
          <w:rPr>
            <w:rStyle w:val="a5"/>
            <w:i/>
            <w:color w:val="auto"/>
            <w:sz w:val="20"/>
            <w:szCs w:val="20"/>
            <w:lang w:val="en-US"/>
          </w:rPr>
          <w:t>amc</w:t>
        </w:r>
        <w:proofErr w:type="spellEnd"/>
        <w:r w:rsidRPr="00AA5BD1">
          <w:rPr>
            <w:rStyle w:val="a5"/>
            <w:i/>
            <w:color w:val="auto"/>
            <w:sz w:val="20"/>
            <w:szCs w:val="20"/>
          </w:rPr>
          <w:t>.</w:t>
        </w:r>
        <w:proofErr w:type="spellStart"/>
        <w:r w:rsidRPr="00AA5BD1">
          <w:rPr>
            <w:rStyle w:val="a5"/>
            <w:i/>
            <w:color w:val="auto"/>
            <w:sz w:val="20"/>
            <w:szCs w:val="20"/>
            <w:lang w:val="en-US"/>
          </w:rPr>
          <w:t>gov</w:t>
        </w:r>
        <w:proofErr w:type="spellEnd"/>
        <w:r w:rsidRPr="00AA5BD1">
          <w:rPr>
            <w:rStyle w:val="a5"/>
            <w:i/>
            <w:color w:val="auto"/>
            <w:sz w:val="20"/>
            <w:szCs w:val="20"/>
          </w:rPr>
          <w:t>.</w:t>
        </w:r>
        <w:proofErr w:type="spellStart"/>
        <w:r w:rsidRPr="00AA5BD1">
          <w:rPr>
            <w:rStyle w:val="a5"/>
            <w:i/>
            <w:color w:val="auto"/>
            <w:sz w:val="20"/>
            <w:szCs w:val="20"/>
            <w:lang w:val="en-US"/>
          </w:rPr>
          <w:t>ua</w:t>
        </w:r>
        <w:proofErr w:type="spellEnd"/>
      </w:hyperlink>
      <w:r w:rsidRPr="00AA5BD1">
        <w:rPr>
          <w:i/>
          <w:sz w:val="20"/>
          <w:szCs w:val="20"/>
        </w:rPr>
        <w:t xml:space="preserve"> </w:t>
      </w:r>
      <w:r w:rsidRPr="00AA5BD1">
        <w:rPr>
          <w:b/>
          <w:i/>
          <w:sz w:val="20"/>
          <w:szCs w:val="20"/>
          <w:u w:val="thick"/>
        </w:rPr>
        <w:t xml:space="preserve">Акціонерне товариство «Оператор газорозподільної системи» </w:t>
      </w:r>
      <w:proofErr w:type="spellStart"/>
      <w:r w:rsidRPr="00AA5BD1">
        <w:rPr>
          <w:b/>
          <w:i/>
          <w:sz w:val="20"/>
          <w:szCs w:val="20"/>
          <w:u w:val="thick"/>
        </w:rPr>
        <w:t>Вінницягаз</w:t>
      </w:r>
      <w:proofErr w:type="spellEnd"/>
      <w:r w:rsidRPr="00AA5BD1">
        <w:rPr>
          <w:b/>
          <w:i/>
          <w:sz w:val="20"/>
          <w:szCs w:val="20"/>
          <w:u w:val="thick"/>
        </w:rPr>
        <w:t>»</w:t>
      </w:r>
      <w:r w:rsidRPr="00AA5BD1">
        <w:rPr>
          <w:i/>
          <w:sz w:val="20"/>
          <w:szCs w:val="20"/>
        </w:rPr>
        <w:t xml:space="preserve"> відносяться до суб’єктів природніх монополій Вінницької області.</w:t>
      </w:r>
    </w:p>
    <w:p w:rsidR="00644CF2" w:rsidRPr="00AA5BD1" w:rsidRDefault="00644CF2" w:rsidP="00644CF2">
      <w:pPr>
        <w:pStyle w:val="aa"/>
        <w:spacing w:after="0"/>
        <w:ind w:left="0"/>
        <w:jc w:val="both"/>
        <w:rPr>
          <w:i/>
          <w:sz w:val="20"/>
          <w:szCs w:val="20"/>
        </w:rPr>
      </w:pPr>
    </w:p>
    <w:p w:rsidR="00644CF2" w:rsidRPr="00AA5BD1" w:rsidRDefault="00AA5BD1" w:rsidP="00644CF2">
      <w:pPr>
        <w:pStyle w:val="aa"/>
        <w:ind w:left="0"/>
        <w:jc w:val="both"/>
        <w:rPr>
          <w:sz w:val="20"/>
          <w:szCs w:val="20"/>
        </w:rPr>
      </w:pPr>
      <w:r>
        <w:rPr>
          <w:b/>
          <w:sz w:val="20"/>
          <w:szCs w:val="20"/>
        </w:rPr>
        <w:t xml:space="preserve">      </w:t>
      </w:r>
      <w:r w:rsidR="00644CF2" w:rsidRPr="00AA5BD1">
        <w:rPr>
          <w:b/>
          <w:sz w:val="20"/>
          <w:szCs w:val="20"/>
        </w:rPr>
        <w:t>Відповідно до зведеного переліку суб’єктів природних монополій, станом на 30.06.2021р., розміщеного на офіційному сайті Антимонопольного комітету України</w:t>
      </w:r>
      <w:r w:rsidR="00644CF2" w:rsidRPr="00AA5BD1">
        <w:rPr>
          <w:sz w:val="20"/>
          <w:szCs w:val="20"/>
        </w:rPr>
        <w:t>, щодо розподілу природного газу АКЦІОНЕРНЕ ТОВАРИСТВО «ОПЕРАТОР ГАЗОРОЗПОДІЛЬНОЇ СИСТЕМИ «ВІННИЦЯГАЗ» значиться під номером 1 на стр.5 (ТЕРИТОРІЯ ВІННИЦЬКОЇ ОБЛАСТІ (КРІМ СІЛ ЯКУШЕНЦІ І ЗАРВАНЦІ ВІННИЦЬКОГО РАЙОНУ, СМТ КИРНАСІВКА, СІЛ ОДАЯ, НЕСТЕРВАРКА, ФЕДЬКІВКА, ДРАНКА, ТИМАНІВКА, КЛЕБАНЬ, КОПІЇВКА, ХУТІР МАРКОВО ТУЛЬЧИНСЬКОГО РАЙОНУ, СІЛ ПИЛИПИ-БОРІВСЬКІ, КАЛИНКА ТОМАШПІЛЬСЬКОГО РАЙОНУ, СІЛ СОКІЛ, МОЇВКА, БОРІВКА, ХУТІР ГРАБОВЕЦЬ ЧЕРНІВЕЦЬКОГО РАЙОНУ, СЕЛА МАХАРИНЦІ КОЗЯТИНСЬКОГО РАЙОНУ, СІЛ БУХНИ, МОРОЗІВКА ПОГРЕБИЩЕНСЬКОГО РАЙОНУ), А ТАКОЖ ТЕРИТОРІЇ М. ГАЙВОРОН КІРОВОГРАДСЬКОЇ ОБЛАСТІ ВІДПОВІДНО ДО ПОСТАНОВИ НКРЕКП ВІД 19.06.2017 № 811 (із змінами).Веде цей реєстр НКРЕКП.</w:t>
      </w:r>
    </w:p>
    <w:p w:rsidR="00644CF2" w:rsidRPr="00AA5BD1" w:rsidRDefault="00644CF2" w:rsidP="00644CF2">
      <w:pPr>
        <w:pStyle w:val="aa"/>
        <w:spacing w:after="0"/>
        <w:ind w:left="0"/>
        <w:jc w:val="both"/>
        <w:rPr>
          <w:sz w:val="20"/>
          <w:szCs w:val="20"/>
        </w:rPr>
      </w:pPr>
      <w:r w:rsidRPr="00AA5BD1">
        <w:rPr>
          <w:b/>
          <w:sz w:val="20"/>
          <w:szCs w:val="20"/>
        </w:rPr>
        <w:t>Відповідно до реєстру суб’єктів природних монополій, які провадять господарську діяльність у сфері енергетики, станом на 30.06.2021р., розміщеного на офіційному сайті НКРЕКП</w:t>
      </w:r>
      <w:r w:rsidRPr="00AA5BD1">
        <w:rPr>
          <w:sz w:val="20"/>
          <w:szCs w:val="20"/>
        </w:rPr>
        <w:t xml:space="preserve">, щодо розподілу природного газу АКЦІОНЕРНЕ ТОВАРИСТВО «ОПЕРАТОР ГАЗОРОЗПОДІЛЬНОЇ СИСТЕМИ «ВІННИЦЯГАЗ» значиться під номером 1(ТЕРИТОРІЯ </w:t>
      </w:r>
      <w:r w:rsidRPr="00AA5BD1">
        <w:rPr>
          <w:sz w:val="20"/>
          <w:szCs w:val="20"/>
        </w:rPr>
        <w:lastRenderedPageBreak/>
        <w:t>ВІННИЦЬКОЇ ОБЛАСТІ (КРІМ СІЛ ЯКУШЕНЦІ І ЗАРВАНЦІ ВІННИЦЬКОГО РАЙОНУ, СМТ КИРНАСІВКА, СІЛ ОДАЯ, НЕСТЕРВАРКА, ФЕДЬКІВКА, ДРАНКА, ТИМАНІВКА, КЛЕБАНЬ, КОПІЇВКА, ХУТІР МАРКОВО ТУЛЬЧИНСЬКОГО РАЙОНУ, СІЛ ПИЛИПИ-БОРІВСЬКІ, КАЛИНКА ТОМАШПІЛЬСЬКОГО РАЙОНУ, СІЛ СОКІЛ, МОЇВКА, БОРІВКА, ХУТІР ГРАБОВЕЦЬ ЧЕРНІВЕЦЬКОГО РАЙОНУ, СЕЛА МАХАРИНЦІ КОЗЯТИНСЬКОГО РАЙОНУ, СІЛ БУХНИ, МОРОЗІВКА ПОГРЕБИЩЕНСЬКОГО РАЙОНУ), А ТАКОЖ ТЕРИТОРІЇ М. ГАЙВОРОН КІРОВОГРАДСЬКОЇ ОБЛАСТІ ВІДПОВІДНО ДО ПОСТАНОВИ НКРЕКП ВІД 19.06.2017 № 811 (із змінами).</w:t>
      </w:r>
    </w:p>
    <w:p w:rsidR="00AA5BD1" w:rsidRPr="00AA5BD1" w:rsidRDefault="00AA5BD1" w:rsidP="00644CF2">
      <w:pPr>
        <w:pStyle w:val="aa"/>
        <w:spacing w:after="0"/>
        <w:ind w:left="0"/>
        <w:jc w:val="both"/>
        <w:rPr>
          <w:sz w:val="20"/>
          <w:szCs w:val="20"/>
        </w:rPr>
      </w:pPr>
    </w:p>
    <w:tbl>
      <w:tblPr>
        <w:tblW w:w="9844" w:type="dxa"/>
        <w:tblLayout w:type="fixed"/>
        <w:tblLook w:val="04A0" w:firstRow="1" w:lastRow="0" w:firstColumn="1" w:lastColumn="0" w:noHBand="0" w:noVBand="1"/>
      </w:tblPr>
      <w:tblGrid>
        <w:gridCol w:w="3664"/>
        <w:gridCol w:w="3285"/>
        <w:gridCol w:w="2895"/>
      </w:tblGrid>
      <w:tr w:rsidR="00AA5BD1" w:rsidRPr="00AA5BD1" w:rsidTr="00910588">
        <w:trPr>
          <w:trHeight w:val="567"/>
        </w:trPr>
        <w:tc>
          <w:tcPr>
            <w:tcW w:w="3664" w:type="dxa"/>
          </w:tcPr>
          <w:p w:rsidR="00AA5BD1" w:rsidRPr="00AA5BD1" w:rsidRDefault="00AA5BD1" w:rsidP="00AA5BD1">
            <w:pPr>
              <w:tabs>
                <w:tab w:val="left" w:pos="1440"/>
              </w:tabs>
              <w:ind w:firstLine="3"/>
              <w:rPr>
                <w:rFonts w:ascii="Times New Roman" w:hAnsi="Times New Roman"/>
                <w:b/>
                <w:sz w:val="20"/>
                <w:szCs w:val="20"/>
              </w:rPr>
            </w:pPr>
            <w:r w:rsidRPr="00AA5BD1">
              <w:rPr>
                <w:rFonts w:ascii="Times New Roman" w:hAnsi="Times New Roman"/>
                <w:b/>
                <w:sz w:val="20"/>
                <w:szCs w:val="20"/>
              </w:rPr>
              <w:t>Уповноважена особа</w:t>
            </w:r>
          </w:p>
          <w:p w:rsidR="00AA5BD1" w:rsidRPr="00AA5BD1" w:rsidRDefault="00AA5BD1" w:rsidP="00910588">
            <w:pPr>
              <w:shd w:val="clear" w:color="auto" w:fill="FFFFFF"/>
              <w:jc w:val="center"/>
              <w:rPr>
                <w:rFonts w:ascii="Times New Roman" w:eastAsia="Arial" w:hAnsi="Times New Roman"/>
                <w:i/>
                <w:sz w:val="20"/>
                <w:szCs w:val="20"/>
                <w:lang w:eastAsia="ar-SA"/>
              </w:rPr>
            </w:pPr>
            <w:r w:rsidRPr="00AA5BD1">
              <w:rPr>
                <w:rFonts w:ascii="Times New Roman" w:eastAsia="Arial" w:hAnsi="Times New Roman"/>
                <w:b/>
                <w:sz w:val="20"/>
                <w:szCs w:val="20"/>
                <w:lang w:eastAsia="ar-SA"/>
              </w:rPr>
              <w:t>Відділу освіти, культури, молоді та спорту Літинської селищної ради</w:t>
            </w:r>
          </w:p>
          <w:p w:rsidR="00AA5BD1" w:rsidRPr="00AA5BD1" w:rsidRDefault="00AA5BD1" w:rsidP="00910588">
            <w:pPr>
              <w:shd w:val="clear" w:color="auto" w:fill="FFFFFF"/>
              <w:ind w:firstLine="3"/>
              <w:rPr>
                <w:rFonts w:ascii="Times New Roman" w:hAnsi="Times New Roman"/>
                <w:sz w:val="20"/>
                <w:szCs w:val="20"/>
              </w:rPr>
            </w:pPr>
          </w:p>
        </w:tc>
        <w:tc>
          <w:tcPr>
            <w:tcW w:w="3285" w:type="dxa"/>
            <w:vAlign w:val="center"/>
          </w:tcPr>
          <w:p w:rsidR="00AA5BD1" w:rsidRPr="00AA5BD1" w:rsidRDefault="00AA5BD1" w:rsidP="00910588">
            <w:pPr>
              <w:tabs>
                <w:tab w:val="left" w:pos="1440"/>
              </w:tabs>
              <w:jc w:val="center"/>
              <w:rPr>
                <w:rFonts w:ascii="Times New Roman" w:hAnsi="Times New Roman"/>
                <w:sz w:val="20"/>
                <w:szCs w:val="20"/>
              </w:rPr>
            </w:pPr>
          </w:p>
          <w:p w:rsidR="00AA5BD1" w:rsidRPr="00AA5BD1" w:rsidRDefault="00AA5BD1" w:rsidP="00910588">
            <w:pPr>
              <w:tabs>
                <w:tab w:val="left" w:pos="1440"/>
              </w:tabs>
              <w:jc w:val="center"/>
              <w:rPr>
                <w:rFonts w:ascii="Times New Roman" w:hAnsi="Times New Roman"/>
                <w:sz w:val="20"/>
                <w:szCs w:val="20"/>
              </w:rPr>
            </w:pPr>
          </w:p>
        </w:tc>
        <w:tc>
          <w:tcPr>
            <w:tcW w:w="2895" w:type="dxa"/>
            <w:vAlign w:val="center"/>
          </w:tcPr>
          <w:p w:rsidR="00AA5BD1" w:rsidRPr="00AA5BD1" w:rsidRDefault="00AA5BD1" w:rsidP="00910588">
            <w:pPr>
              <w:tabs>
                <w:tab w:val="left" w:pos="1440"/>
              </w:tabs>
              <w:jc w:val="center"/>
              <w:rPr>
                <w:rFonts w:ascii="Times New Roman" w:hAnsi="Times New Roman"/>
                <w:b/>
                <w:i/>
                <w:iCs/>
                <w:sz w:val="20"/>
                <w:szCs w:val="20"/>
              </w:rPr>
            </w:pPr>
          </w:p>
          <w:p w:rsidR="00AA5BD1" w:rsidRPr="00AA5BD1" w:rsidRDefault="00AA5BD1" w:rsidP="00910588">
            <w:pPr>
              <w:tabs>
                <w:tab w:val="left" w:pos="1440"/>
              </w:tabs>
              <w:jc w:val="center"/>
              <w:rPr>
                <w:rFonts w:ascii="Times New Roman" w:hAnsi="Times New Roman"/>
                <w:b/>
                <w:bCs/>
                <w:sz w:val="20"/>
                <w:szCs w:val="20"/>
              </w:rPr>
            </w:pPr>
            <w:proofErr w:type="spellStart"/>
            <w:r w:rsidRPr="00AA5BD1">
              <w:rPr>
                <w:rFonts w:ascii="Times New Roman" w:hAnsi="Times New Roman"/>
                <w:b/>
                <w:bCs/>
                <w:sz w:val="20"/>
                <w:szCs w:val="20"/>
              </w:rPr>
              <w:t>Н.В.Харченко</w:t>
            </w:r>
            <w:proofErr w:type="spellEnd"/>
          </w:p>
          <w:p w:rsidR="00AA5BD1" w:rsidRPr="00AA5BD1" w:rsidRDefault="00AA5BD1" w:rsidP="00910588">
            <w:pPr>
              <w:tabs>
                <w:tab w:val="left" w:pos="1440"/>
              </w:tabs>
              <w:jc w:val="center"/>
              <w:rPr>
                <w:rFonts w:ascii="Times New Roman" w:hAnsi="Times New Roman"/>
                <w:sz w:val="20"/>
                <w:szCs w:val="20"/>
              </w:rPr>
            </w:pPr>
          </w:p>
        </w:tc>
      </w:tr>
    </w:tbl>
    <w:p w:rsidR="00AA5BD1" w:rsidRPr="00AA5BD1" w:rsidRDefault="00AA5BD1" w:rsidP="00644CF2">
      <w:pPr>
        <w:pStyle w:val="aa"/>
        <w:spacing w:after="0"/>
        <w:ind w:left="0"/>
        <w:jc w:val="both"/>
        <w:rPr>
          <w:sz w:val="20"/>
          <w:szCs w:val="20"/>
        </w:rPr>
      </w:pPr>
    </w:p>
    <w:sectPr w:rsidR="00AA5BD1" w:rsidRPr="00AA5BD1" w:rsidSect="00AA5BD1">
      <w:pgSz w:w="11906" w:h="16838"/>
      <w:pgMar w:top="567" w:right="424" w:bottom="568"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A44F64"/>
    <w:multiLevelType w:val="hybridMultilevel"/>
    <w:tmpl w:val="16B233A6"/>
    <w:lvl w:ilvl="0" w:tplc="9BCA0AD6">
      <w:numFmt w:val="bullet"/>
      <w:pStyle w:val="1"/>
      <w:lvlText w:val="-"/>
      <w:lvlJc w:val="left"/>
      <w:pPr>
        <w:ind w:left="720" w:hanging="360"/>
      </w:pPr>
      <w:rPr>
        <w:rFonts w:ascii="Times New Roman" w:eastAsia="Calibri" w:hAnsi="Times New Roman" w:cs="Times New Roman" w:hint="default"/>
        <w:b w:val="0"/>
        <w:sz w:val="24"/>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1" w15:restartNumberingAfterBreak="0">
    <w:nsid w:val="2CA7416F"/>
    <w:multiLevelType w:val="hybridMultilevel"/>
    <w:tmpl w:val="64AEC3F0"/>
    <w:lvl w:ilvl="0" w:tplc="78A0FF6C">
      <w:start w:val="1"/>
      <w:numFmt w:val="bullet"/>
      <w:lvlText w:val="-"/>
      <w:lvlJc w:val="left"/>
      <w:pPr>
        <w:ind w:left="1320" w:hanging="360"/>
      </w:pPr>
      <w:rPr>
        <w:rFonts w:ascii="Times New Roman" w:eastAsia="Times New Roman" w:hAnsi="Times New Roman" w:cs="Times New Roman" w:hint="default"/>
        <w:b w:val="0"/>
      </w:rPr>
    </w:lvl>
    <w:lvl w:ilvl="1" w:tplc="20000003" w:tentative="1">
      <w:start w:val="1"/>
      <w:numFmt w:val="bullet"/>
      <w:lvlText w:val="o"/>
      <w:lvlJc w:val="left"/>
      <w:pPr>
        <w:ind w:left="2040" w:hanging="360"/>
      </w:pPr>
      <w:rPr>
        <w:rFonts w:ascii="Courier New" w:hAnsi="Courier New" w:cs="Courier New" w:hint="default"/>
      </w:rPr>
    </w:lvl>
    <w:lvl w:ilvl="2" w:tplc="20000005" w:tentative="1">
      <w:start w:val="1"/>
      <w:numFmt w:val="bullet"/>
      <w:lvlText w:val=""/>
      <w:lvlJc w:val="left"/>
      <w:pPr>
        <w:ind w:left="2760" w:hanging="360"/>
      </w:pPr>
      <w:rPr>
        <w:rFonts w:ascii="Wingdings" w:hAnsi="Wingdings" w:hint="default"/>
      </w:rPr>
    </w:lvl>
    <w:lvl w:ilvl="3" w:tplc="20000001" w:tentative="1">
      <w:start w:val="1"/>
      <w:numFmt w:val="bullet"/>
      <w:lvlText w:val=""/>
      <w:lvlJc w:val="left"/>
      <w:pPr>
        <w:ind w:left="3480" w:hanging="360"/>
      </w:pPr>
      <w:rPr>
        <w:rFonts w:ascii="Symbol" w:hAnsi="Symbol" w:hint="default"/>
      </w:rPr>
    </w:lvl>
    <w:lvl w:ilvl="4" w:tplc="20000003" w:tentative="1">
      <w:start w:val="1"/>
      <w:numFmt w:val="bullet"/>
      <w:lvlText w:val="o"/>
      <w:lvlJc w:val="left"/>
      <w:pPr>
        <w:ind w:left="4200" w:hanging="360"/>
      </w:pPr>
      <w:rPr>
        <w:rFonts w:ascii="Courier New" w:hAnsi="Courier New" w:cs="Courier New" w:hint="default"/>
      </w:rPr>
    </w:lvl>
    <w:lvl w:ilvl="5" w:tplc="20000005" w:tentative="1">
      <w:start w:val="1"/>
      <w:numFmt w:val="bullet"/>
      <w:lvlText w:val=""/>
      <w:lvlJc w:val="left"/>
      <w:pPr>
        <w:ind w:left="4920" w:hanging="360"/>
      </w:pPr>
      <w:rPr>
        <w:rFonts w:ascii="Wingdings" w:hAnsi="Wingdings" w:hint="default"/>
      </w:rPr>
    </w:lvl>
    <w:lvl w:ilvl="6" w:tplc="20000001" w:tentative="1">
      <w:start w:val="1"/>
      <w:numFmt w:val="bullet"/>
      <w:lvlText w:val=""/>
      <w:lvlJc w:val="left"/>
      <w:pPr>
        <w:ind w:left="5640" w:hanging="360"/>
      </w:pPr>
      <w:rPr>
        <w:rFonts w:ascii="Symbol" w:hAnsi="Symbol" w:hint="default"/>
      </w:rPr>
    </w:lvl>
    <w:lvl w:ilvl="7" w:tplc="20000003" w:tentative="1">
      <w:start w:val="1"/>
      <w:numFmt w:val="bullet"/>
      <w:lvlText w:val="o"/>
      <w:lvlJc w:val="left"/>
      <w:pPr>
        <w:ind w:left="6360" w:hanging="360"/>
      </w:pPr>
      <w:rPr>
        <w:rFonts w:ascii="Courier New" w:hAnsi="Courier New" w:cs="Courier New" w:hint="default"/>
      </w:rPr>
    </w:lvl>
    <w:lvl w:ilvl="8" w:tplc="20000005" w:tentative="1">
      <w:start w:val="1"/>
      <w:numFmt w:val="bullet"/>
      <w:lvlText w:val=""/>
      <w:lvlJc w:val="left"/>
      <w:pPr>
        <w:ind w:left="7080" w:hanging="360"/>
      </w:pPr>
      <w:rPr>
        <w:rFonts w:ascii="Wingdings" w:hAnsi="Wingdings" w:hint="default"/>
      </w:rPr>
    </w:lvl>
  </w:abstractNum>
  <w:abstractNum w:abstractNumId="2" w15:restartNumberingAfterBreak="0">
    <w:nsid w:val="44E13B49"/>
    <w:multiLevelType w:val="hybridMultilevel"/>
    <w:tmpl w:val="32BA6BE2"/>
    <w:lvl w:ilvl="0" w:tplc="50F66462">
      <w:start w:val="1"/>
      <w:numFmt w:val="bullet"/>
      <w:lvlText w:val="•"/>
      <w:lvlJc w:val="left"/>
      <w:pPr>
        <w:tabs>
          <w:tab w:val="num" w:pos="720"/>
        </w:tabs>
        <w:ind w:left="720" w:hanging="360"/>
      </w:pPr>
      <w:rPr>
        <w:rFonts w:ascii="Arial" w:hAnsi="Arial" w:hint="default"/>
      </w:rPr>
    </w:lvl>
    <w:lvl w:ilvl="1" w:tplc="7B807A36" w:tentative="1">
      <w:start w:val="1"/>
      <w:numFmt w:val="bullet"/>
      <w:lvlText w:val="•"/>
      <w:lvlJc w:val="left"/>
      <w:pPr>
        <w:tabs>
          <w:tab w:val="num" w:pos="1440"/>
        </w:tabs>
        <w:ind w:left="1440" w:hanging="360"/>
      </w:pPr>
      <w:rPr>
        <w:rFonts w:ascii="Arial" w:hAnsi="Arial" w:hint="default"/>
      </w:rPr>
    </w:lvl>
    <w:lvl w:ilvl="2" w:tplc="F3DE47CC" w:tentative="1">
      <w:start w:val="1"/>
      <w:numFmt w:val="bullet"/>
      <w:lvlText w:val="•"/>
      <w:lvlJc w:val="left"/>
      <w:pPr>
        <w:tabs>
          <w:tab w:val="num" w:pos="2160"/>
        </w:tabs>
        <w:ind w:left="2160" w:hanging="360"/>
      </w:pPr>
      <w:rPr>
        <w:rFonts w:ascii="Arial" w:hAnsi="Arial" w:hint="default"/>
      </w:rPr>
    </w:lvl>
    <w:lvl w:ilvl="3" w:tplc="CECC1C68" w:tentative="1">
      <w:start w:val="1"/>
      <w:numFmt w:val="bullet"/>
      <w:lvlText w:val="•"/>
      <w:lvlJc w:val="left"/>
      <w:pPr>
        <w:tabs>
          <w:tab w:val="num" w:pos="2880"/>
        </w:tabs>
        <w:ind w:left="2880" w:hanging="360"/>
      </w:pPr>
      <w:rPr>
        <w:rFonts w:ascii="Arial" w:hAnsi="Arial" w:hint="default"/>
      </w:rPr>
    </w:lvl>
    <w:lvl w:ilvl="4" w:tplc="4CDC093A" w:tentative="1">
      <w:start w:val="1"/>
      <w:numFmt w:val="bullet"/>
      <w:lvlText w:val="•"/>
      <w:lvlJc w:val="left"/>
      <w:pPr>
        <w:tabs>
          <w:tab w:val="num" w:pos="3600"/>
        </w:tabs>
        <w:ind w:left="3600" w:hanging="360"/>
      </w:pPr>
      <w:rPr>
        <w:rFonts w:ascii="Arial" w:hAnsi="Arial" w:hint="default"/>
      </w:rPr>
    </w:lvl>
    <w:lvl w:ilvl="5" w:tplc="68C6E91E" w:tentative="1">
      <w:start w:val="1"/>
      <w:numFmt w:val="bullet"/>
      <w:lvlText w:val="•"/>
      <w:lvlJc w:val="left"/>
      <w:pPr>
        <w:tabs>
          <w:tab w:val="num" w:pos="4320"/>
        </w:tabs>
        <w:ind w:left="4320" w:hanging="360"/>
      </w:pPr>
      <w:rPr>
        <w:rFonts w:ascii="Arial" w:hAnsi="Arial" w:hint="default"/>
      </w:rPr>
    </w:lvl>
    <w:lvl w:ilvl="6" w:tplc="D86C28A6" w:tentative="1">
      <w:start w:val="1"/>
      <w:numFmt w:val="bullet"/>
      <w:lvlText w:val="•"/>
      <w:lvlJc w:val="left"/>
      <w:pPr>
        <w:tabs>
          <w:tab w:val="num" w:pos="5040"/>
        </w:tabs>
        <w:ind w:left="5040" w:hanging="360"/>
      </w:pPr>
      <w:rPr>
        <w:rFonts w:ascii="Arial" w:hAnsi="Arial" w:hint="default"/>
      </w:rPr>
    </w:lvl>
    <w:lvl w:ilvl="7" w:tplc="CD68A1C8" w:tentative="1">
      <w:start w:val="1"/>
      <w:numFmt w:val="bullet"/>
      <w:lvlText w:val="•"/>
      <w:lvlJc w:val="left"/>
      <w:pPr>
        <w:tabs>
          <w:tab w:val="num" w:pos="5760"/>
        </w:tabs>
        <w:ind w:left="5760" w:hanging="360"/>
      </w:pPr>
      <w:rPr>
        <w:rFonts w:ascii="Arial" w:hAnsi="Arial" w:hint="default"/>
      </w:rPr>
    </w:lvl>
    <w:lvl w:ilvl="8" w:tplc="E0522C3A"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72A74234"/>
    <w:multiLevelType w:val="hybridMultilevel"/>
    <w:tmpl w:val="C6C642B6"/>
    <w:lvl w:ilvl="0" w:tplc="479A4134">
      <w:start w:val="1"/>
      <w:numFmt w:val="decimal"/>
      <w:lvlText w:val="%1."/>
      <w:lvlJc w:val="left"/>
      <w:pPr>
        <w:ind w:left="960" w:hanging="360"/>
      </w:pPr>
      <w:rPr>
        <w:rFonts w:hint="default"/>
        <w:b/>
      </w:rPr>
    </w:lvl>
    <w:lvl w:ilvl="1" w:tplc="20000019" w:tentative="1">
      <w:start w:val="1"/>
      <w:numFmt w:val="lowerLetter"/>
      <w:lvlText w:val="%2."/>
      <w:lvlJc w:val="left"/>
      <w:pPr>
        <w:ind w:left="1680" w:hanging="360"/>
      </w:pPr>
    </w:lvl>
    <w:lvl w:ilvl="2" w:tplc="2000001B" w:tentative="1">
      <w:start w:val="1"/>
      <w:numFmt w:val="lowerRoman"/>
      <w:lvlText w:val="%3."/>
      <w:lvlJc w:val="right"/>
      <w:pPr>
        <w:ind w:left="2400" w:hanging="180"/>
      </w:pPr>
    </w:lvl>
    <w:lvl w:ilvl="3" w:tplc="2000000F" w:tentative="1">
      <w:start w:val="1"/>
      <w:numFmt w:val="decimal"/>
      <w:lvlText w:val="%4."/>
      <w:lvlJc w:val="left"/>
      <w:pPr>
        <w:ind w:left="3120" w:hanging="360"/>
      </w:pPr>
    </w:lvl>
    <w:lvl w:ilvl="4" w:tplc="20000019" w:tentative="1">
      <w:start w:val="1"/>
      <w:numFmt w:val="lowerLetter"/>
      <w:lvlText w:val="%5."/>
      <w:lvlJc w:val="left"/>
      <w:pPr>
        <w:ind w:left="3840" w:hanging="360"/>
      </w:pPr>
    </w:lvl>
    <w:lvl w:ilvl="5" w:tplc="2000001B" w:tentative="1">
      <w:start w:val="1"/>
      <w:numFmt w:val="lowerRoman"/>
      <w:lvlText w:val="%6."/>
      <w:lvlJc w:val="right"/>
      <w:pPr>
        <w:ind w:left="4560" w:hanging="180"/>
      </w:pPr>
    </w:lvl>
    <w:lvl w:ilvl="6" w:tplc="2000000F" w:tentative="1">
      <w:start w:val="1"/>
      <w:numFmt w:val="decimal"/>
      <w:lvlText w:val="%7."/>
      <w:lvlJc w:val="left"/>
      <w:pPr>
        <w:ind w:left="5280" w:hanging="360"/>
      </w:pPr>
    </w:lvl>
    <w:lvl w:ilvl="7" w:tplc="20000019" w:tentative="1">
      <w:start w:val="1"/>
      <w:numFmt w:val="lowerLetter"/>
      <w:lvlText w:val="%8."/>
      <w:lvlJc w:val="left"/>
      <w:pPr>
        <w:ind w:left="6000" w:hanging="360"/>
      </w:pPr>
    </w:lvl>
    <w:lvl w:ilvl="8" w:tplc="2000001B" w:tentative="1">
      <w:start w:val="1"/>
      <w:numFmt w:val="lowerRoman"/>
      <w:lvlText w:val="%9."/>
      <w:lvlJc w:val="right"/>
      <w:pPr>
        <w:ind w:left="6720" w:hanging="18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writeProtection w:recommended="1"/>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35C7"/>
    <w:rsid w:val="000C6ED8"/>
    <w:rsid w:val="000E4AD8"/>
    <w:rsid w:val="000F4358"/>
    <w:rsid w:val="000F6267"/>
    <w:rsid w:val="00170735"/>
    <w:rsid w:val="001B6BF4"/>
    <w:rsid w:val="001D5BA5"/>
    <w:rsid w:val="00200740"/>
    <w:rsid w:val="00291D6B"/>
    <w:rsid w:val="002B0398"/>
    <w:rsid w:val="003620A6"/>
    <w:rsid w:val="004F1047"/>
    <w:rsid w:val="005A50FD"/>
    <w:rsid w:val="005F285F"/>
    <w:rsid w:val="00620E1B"/>
    <w:rsid w:val="00644CF2"/>
    <w:rsid w:val="00667163"/>
    <w:rsid w:val="006735C7"/>
    <w:rsid w:val="006B1825"/>
    <w:rsid w:val="00734CE4"/>
    <w:rsid w:val="007E085A"/>
    <w:rsid w:val="008041E5"/>
    <w:rsid w:val="00816EAE"/>
    <w:rsid w:val="008A6754"/>
    <w:rsid w:val="009264A4"/>
    <w:rsid w:val="0095538C"/>
    <w:rsid w:val="009C69C4"/>
    <w:rsid w:val="00A04AF3"/>
    <w:rsid w:val="00A10912"/>
    <w:rsid w:val="00A36E4C"/>
    <w:rsid w:val="00A7632E"/>
    <w:rsid w:val="00AA5BD1"/>
    <w:rsid w:val="00B44B74"/>
    <w:rsid w:val="00B67BC4"/>
    <w:rsid w:val="00C85371"/>
    <w:rsid w:val="00CD3C45"/>
    <w:rsid w:val="00CE4990"/>
    <w:rsid w:val="00CF10DF"/>
    <w:rsid w:val="00CF16A6"/>
    <w:rsid w:val="00D2406F"/>
    <w:rsid w:val="00E27191"/>
    <w:rsid w:val="00E332A4"/>
    <w:rsid w:val="00E33843"/>
    <w:rsid w:val="00E60283"/>
    <w:rsid w:val="00E74F23"/>
    <w:rsid w:val="00EC3F6F"/>
    <w:rsid w:val="00F3771E"/>
    <w:rsid w:val="00F6154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450C8AF-DC2C-44E2-9979-CE5E7C779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6154F"/>
    <w:pPr>
      <w:spacing w:after="200" w:line="276" w:lineRule="auto"/>
    </w:pPr>
    <w:rPr>
      <w:sz w:val="22"/>
      <w:szCs w:val="22"/>
      <w:lang w:val="uk-UA" w:eastAsia="en-US"/>
    </w:rPr>
  </w:style>
  <w:style w:type="paragraph" w:styleId="1">
    <w:name w:val="heading 1"/>
    <w:basedOn w:val="a"/>
    <w:next w:val="a"/>
    <w:link w:val="10"/>
    <w:qFormat/>
    <w:rsid w:val="00B44B74"/>
    <w:pPr>
      <w:keepNext/>
      <w:numPr>
        <w:numId w:val="4"/>
      </w:numPr>
      <w:tabs>
        <w:tab w:val="num" w:pos="360"/>
      </w:tabs>
      <w:suppressAutoHyphens/>
      <w:spacing w:after="0" w:line="240" w:lineRule="auto"/>
      <w:ind w:left="0" w:firstLine="0"/>
      <w:jc w:val="center"/>
      <w:outlineLvl w:val="0"/>
    </w:pPr>
    <w:rPr>
      <w:rFonts w:ascii="Times New Roman" w:eastAsia="Times New Roman" w:hAnsi="Times New Roman"/>
      <w:b/>
      <w:sz w:val="28"/>
      <w:szCs w:val="20"/>
      <w:lang w:eastAsia="zh-CN"/>
    </w:rPr>
  </w:style>
  <w:style w:type="paragraph" w:styleId="2">
    <w:name w:val="heading 2"/>
    <w:basedOn w:val="a"/>
    <w:link w:val="20"/>
    <w:uiPriority w:val="9"/>
    <w:unhideWhenUsed/>
    <w:qFormat/>
    <w:rsid w:val="00AA5BD1"/>
    <w:pPr>
      <w:widowControl w:val="0"/>
      <w:autoSpaceDE w:val="0"/>
      <w:autoSpaceDN w:val="0"/>
      <w:spacing w:after="0" w:line="240" w:lineRule="auto"/>
      <w:ind w:left="100"/>
      <w:outlineLvl w:val="1"/>
    </w:pPr>
    <w:rPr>
      <w:rFonts w:ascii="Times New Roman" w:eastAsia="Times New Roman" w:hAnsi="Times New Roman"/>
      <w:b/>
      <w:bCs/>
      <w:sz w:val="24"/>
      <w:szCs w:val="24"/>
      <w:u w:val="single" w:color="000000"/>
      <w:lang w:eastAsia="uk-UA" w:bidi="uk-UA"/>
    </w:rPr>
  </w:style>
  <w:style w:type="paragraph" w:styleId="3">
    <w:name w:val="heading 3"/>
    <w:basedOn w:val="a"/>
    <w:next w:val="a"/>
    <w:link w:val="30"/>
    <w:uiPriority w:val="9"/>
    <w:semiHidden/>
    <w:unhideWhenUsed/>
    <w:qFormat/>
    <w:rsid w:val="00AA5BD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735C7"/>
    <w:pPr>
      <w:spacing w:before="100" w:beforeAutospacing="1" w:after="100" w:afterAutospacing="1" w:line="240" w:lineRule="auto"/>
    </w:pPr>
    <w:rPr>
      <w:rFonts w:ascii="Times New Roman" w:eastAsia="Times New Roman" w:hAnsi="Times New Roman"/>
      <w:sz w:val="24"/>
      <w:szCs w:val="24"/>
      <w:lang w:eastAsia="uk-UA"/>
    </w:rPr>
  </w:style>
  <w:style w:type="character" w:styleId="a4">
    <w:name w:val="Strong"/>
    <w:uiPriority w:val="22"/>
    <w:qFormat/>
    <w:rsid w:val="006735C7"/>
    <w:rPr>
      <w:b/>
      <w:bCs/>
    </w:rPr>
  </w:style>
  <w:style w:type="character" w:styleId="a5">
    <w:name w:val="Hyperlink"/>
    <w:uiPriority w:val="99"/>
    <w:unhideWhenUsed/>
    <w:rsid w:val="00F3771E"/>
    <w:rPr>
      <w:color w:val="0000FF"/>
      <w:u w:val="single"/>
    </w:rPr>
  </w:style>
  <w:style w:type="character" w:customStyle="1" w:styleId="rvts0">
    <w:name w:val="rvts0"/>
    <w:basedOn w:val="a0"/>
    <w:rsid w:val="000E4AD8"/>
  </w:style>
  <w:style w:type="paragraph" w:customStyle="1" w:styleId="rvps2">
    <w:name w:val="rvps2"/>
    <w:basedOn w:val="a"/>
    <w:rsid w:val="000E4AD8"/>
    <w:pPr>
      <w:spacing w:before="100" w:beforeAutospacing="1" w:after="100" w:afterAutospacing="1" w:line="240" w:lineRule="auto"/>
    </w:pPr>
    <w:rPr>
      <w:rFonts w:ascii="Times New Roman" w:eastAsia="Times New Roman" w:hAnsi="Times New Roman"/>
      <w:sz w:val="24"/>
      <w:szCs w:val="24"/>
      <w:lang w:eastAsia="uk-UA"/>
    </w:rPr>
  </w:style>
  <w:style w:type="character" w:customStyle="1" w:styleId="rvts9">
    <w:name w:val="rvts9"/>
    <w:basedOn w:val="a0"/>
    <w:rsid w:val="008041E5"/>
  </w:style>
  <w:style w:type="paragraph" w:styleId="a6">
    <w:name w:val="Balloon Text"/>
    <w:basedOn w:val="a"/>
    <w:link w:val="a7"/>
    <w:uiPriority w:val="99"/>
    <w:semiHidden/>
    <w:unhideWhenUsed/>
    <w:rsid w:val="004F1047"/>
    <w:pPr>
      <w:spacing w:after="0" w:line="240" w:lineRule="auto"/>
    </w:pPr>
    <w:rPr>
      <w:rFonts w:ascii="Segoe UI" w:hAnsi="Segoe UI"/>
      <w:sz w:val="18"/>
      <w:szCs w:val="18"/>
      <w:lang w:val="x-none"/>
    </w:rPr>
  </w:style>
  <w:style w:type="character" w:customStyle="1" w:styleId="a7">
    <w:name w:val="Текст выноски Знак"/>
    <w:link w:val="a6"/>
    <w:uiPriority w:val="99"/>
    <w:semiHidden/>
    <w:rsid w:val="004F1047"/>
    <w:rPr>
      <w:rFonts w:ascii="Segoe UI" w:hAnsi="Segoe UI" w:cs="Segoe UI"/>
      <w:sz w:val="18"/>
      <w:szCs w:val="18"/>
      <w:lang w:eastAsia="en-US"/>
    </w:rPr>
  </w:style>
  <w:style w:type="character" w:customStyle="1" w:styleId="a8">
    <w:name w:val="Без интервала Знак"/>
    <w:basedOn w:val="a0"/>
    <w:link w:val="a9"/>
    <w:uiPriority w:val="1"/>
    <w:locked/>
    <w:rsid w:val="00644CF2"/>
    <w:rPr>
      <w:rFonts w:cs="Calibri"/>
    </w:rPr>
  </w:style>
  <w:style w:type="paragraph" w:styleId="a9">
    <w:name w:val="No Spacing"/>
    <w:link w:val="a8"/>
    <w:uiPriority w:val="1"/>
    <w:qFormat/>
    <w:rsid w:val="00644CF2"/>
    <w:rPr>
      <w:rFonts w:cs="Calibri"/>
    </w:rPr>
  </w:style>
  <w:style w:type="paragraph" w:styleId="aa">
    <w:name w:val="List Paragraph"/>
    <w:basedOn w:val="a"/>
    <w:uiPriority w:val="34"/>
    <w:qFormat/>
    <w:rsid w:val="00644CF2"/>
    <w:pPr>
      <w:spacing w:line="240" w:lineRule="auto"/>
      <w:ind w:left="720"/>
      <w:contextualSpacing/>
    </w:pPr>
    <w:rPr>
      <w:rFonts w:ascii="Times New Roman" w:eastAsia="Times New Roman" w:hAnsi="Times New Roman"/>
    </w:rPr>
  </w:style>
  <w:style w:type="character" w:customStyle="1" w:styleId="20">
    <w:name w:val="Заголовок 2 Знак"/>
    <w:basedOn w:val="a0"/>
    <w:link w:val="2"/>
    <w:uiPriority w:val="9"/>
    <w:rsid w:val="00AA5BD1"/>
    <w:rPr>
      <w:rFonts w:ascii="Times New Roman" w:eastAsia="Times New Roman" w:hAnsi="Times New Roman"/>
      <w:b/>
      <w:bCs/>
      <w:sz w:val="24"/>
      <w:szCs w:val="24"/>
      <w:u w:val="single" w:color="000000"/>
      <w:lang w:val="uk-UA" w:eastAsia="uk-UA" w:bidi="uk-UA"/>
    </w:rPr>
  </w:style>
  <w:style w:type="character" w:customStyle="1" w:styleId="30">
    <w:name w:val="Заголовок 3 Знак"/>
    <w:basedOn w:val="a0"/>
    <w:link w:val="3"/>
    <w:uiPriority w:val="9"/>
    <w:semiHidden/>
    <w:rsid w:val="00AA5BD1"/>
    <w:rPr>
      <w:rFonts w:asciiTheme="majorHAnsi" w:eastAsiaTheme="majorEastAsia" w:hAnsiTheme="majorHAnsi" w:cstheme="majorBidi"/>
      <w:color w:val="1F3763" w:themeColor="accent1" w:themeShade="7F"/>
      <w:sz w:val="24"/>
      <w:szCs w:val="24"/>
      <w:lang w:val="uk-UA" w:eastAsia="en-US"/>
    </w:rPr>
  </w:style>
  <w:style w:type="character" w:customStyle="1" w:styleId="10">
    <w:name w:val="Заголовок 1 Знак"/>
    <w:basedOn w:val="a0"/>
    <w:link w:val="1"/>
    <w:rsid w:val="00B44B74"/>
    <w:rPr>
      <w:rFonts w:ascii="Times New Roman" w:eastAsia="Times New Roman" w:hAnsi="Times New Roman"/>
      <w:b/>
      <w:sz w:val="28"/>
      <w:lang w:val="uk-UA" w:eastAsia="zh-CN"/>
    </w:rPr>
  </w:style>
  <w:style w:type="character" w:styleId="ab">
    <w:name w:val="Emphasis"/>
    <w:basedOn w:val="a0"/>
    <w:uiPriority w:val="20"/>
    <w:qFormat/>
    <w:rsid w:val="00B44B74"/>
    <w:rPr>
      <w:i/>
      <w:iCs/>
    </w:rPr>
  </w:style>
  <w:style w:type="character" w:customStyle="1" w:styleId="js-apiid">
    <w:name w:val="js-apiid"/>
    <w:basedOn w:val="a0"/>
    <w:rsid w:val="00B44B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9607477">
      <w:bodyDiv w:val="1"/>
      <w:marLeft w:val="0"/>
      <w:marRight w:val="0"/>
      <w:marTop w:val="0"/>
      <w:marBottom w:val="0"/>
      <w:divBdr>
        <w:top w:val="none" w:sz="0" w:space="0" w:color="auto"/>
        <w:left w:val="none" w:sz="0" w:space="0" w:color="auto"/>
        <w:bottom w:val="none" w:sz="0" w:space="0" w:color="auto"/>
        <w:right w:val="none" w:sz="0" w:space="0" w:color="auto"/>
      </w:divBdr>
    </w:div>
    <w:div w:id="686753555">
      <w:bodyDiv w:val="1"/>
      <w:marLeft w:val="0"/>
      <w:marRight w:val="0"/>
      <w:marTop w:val="0"/>
      <w:marBottom w:val="0"/>
      <w:divBdr>
        <w:top w:val="none" w:sz="0" w:space="0" w:color="auto"/>
        <w:left w:val="none" w:sz="0" w:space="0" w:color="auto"/>
        <w:bottom w:val="none" w:sz="0" w:space="0" w:color="auto"/>
        <w:right w:val="none" w:sz="0" w:space="0" w:color="auto"/>
      </w:divBdr>
      <w:divsChild>
        <w:div w:id="336808606">
          <w:marLeft w:val="547"/>
          <w:marRight w:val="0"/>
          <w:marTop w:val="115"/>
          <w:marBottom w:val="0"/>
          <w:divBdr>
            <w:top w:val="none" w:sz="0" w:space="0" w:color="auto"/>
            <w:left w:val="none" w:sz="0" w:space="0" w:color="auto"/>
            <w:bottom w:val="none" w:sz="0" w:space="0" w:color="auto"/>
            <w:right w:val="none" w:sz="0" w:space="0" w:color="auto"/>
          </w:divBdr>
        </w:div>
      </w:divsChild>
    </w:div>
    <w:div w:id="1231621070">
      <w:bodyDiv w:val="1"/>
      <w:marLeft w:val="0"/>
      <w:marRight w:val="0"/>
      <w:marTop w:val="0"/>
      <w:marBottom w:val="0"/>
      <w:divBdr>
        <w:top w:val="none" w:sz="0" w:space="0" w:color="auto"/>
        <w:left w:val="none" w:sz="0" w:space="0" w:color="auto"/>
        <w:bottom w:val="none" w:sz="0" w:space="0" w:color="auto"/>
        <w:right w:val="none" w:sz="0" w:space="0" w:color="auto"/>
      </w:divBdr>
    </w:div>
    <w:div w:id="1506745606">
      <w:bodyDiv w:val="1"/>
      <w:marLeft w:val="0"/>
      <w:marRight w:val="0"/>
      <w:marTop w:val="0"/>
      <w:marBottom w:val="0"/>
      <w:divBdr>
        <w:top w:val="none" w:sz="0" w:space="0" w:color="auto"/>
        <w:left w:val="none" w:sz="0" w:space="0" w:color="auto"/>
        <w:bottom w:val="none" w:sz="0" w:space="0" w:color="auto"/>
        <w:right w:val="none" w:sz="0" w:space="0" w:color="auto"/>
      </w:divBdr>
    </w:div>
    <w:div w:id="1603611868">
      <w:bodyDiv w:val="1"/>
      <w:marLeft w:val="0"/>
      <w:marRight w:val="0"/>
      <w:marTop w:val="0"/>
      <w:marBottom w:val="0"/>
      <w:divBdr>
        <w:top w:val="none" w:sz="0" w:space="0" w:color="auto"/>
        <w:left w:val="none" w:sz="0" w:space="0" w:color="auto"/>
        <w:bottom w:val="none" w:sz="0" w:space="0" w:color="auto"/>
        <w:right w:val="none" w:sz="0" w:space="0" w:color="auto"/>
      </w:divBdr>
    </w:div>
    <w:div w:id="1956906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mc.gov.ua" TargetMode="External"/><Relationship Id="rId3" Type="http://schemas.openxmlformats.org/officeDocument/2006/relationships/settings" Target="settings.xml"/><Relationship Id="rId7" Type="http://schemas.openxmlformats.org/officeDocument/2006/relationships/hyperlink" Target="http://www.amc.gov.u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rozorro.gov.ua/tender/UA-2021-08-04-002609-c"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6735</Words>
  <Characters>3839</Characters>
  <Application>Microsoft Office Word</Application>
  <DocSecurity>2</DocSecurity>
  <Lines>31</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10553</CharactersWithSpaces>
  <SharedDoc>false</SharedDoc>
  <HLinks>
    <vt:vector size="6" baseType="variant">
      <vt:variant>
        <vt:i4>6291570</vt:i4>
      </vt:variant>
      <vt:variant>
        <vt:i4>0</vt:i4>
      </vt:variant>
      <vt:variant>
        <vt:i4>0</vt:i4>
      </vt:variant>
      <vt:variant>
        <vt:i4>5</vt:i4>
      </vt:variant>
      <vt:variant>
        <vt:lpwstr>https://amcu.gov.ua/napryami/konkurenciya/arhiv-zvedenogo-pereliku-prirodnih-monopolij</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Maria.Brechko</dc:creator>
  <cp:keywords/>
  <cp:lastModifiedBy>Cherniavsky</cp:lastModifiedBy>
  <cp:revision>2</cp:revision>
  <cp:lastPrinted>2021-08-06T08:51:00Z</cp:lastPrinted>
  <dcterms:created xsi:type="dcterms:W3CDTF">2021-08-06T10:33:00Z</dcterms:created>
  <dcterms:modified xsi:type="dcterms:W3CDTF">2021-08-06T10:33:00Z</dcterms:modified>
  <cp:contentStatus/>
</cp:coreProperties>
</file>